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BE82A" w14:textId="7B7990D1" w:rsidR="009F4E8F" w:rsidRPr="002F0BFE" w:rsidRDefault="009F4E8F" w:rsidP="00A12251">
      <w:pPr>
        <w:spacing w:line="360" w:lineRule="auto"/>
        <w:jc w:val="center"/>
        <w:rPr>
          <w:rFonts w:cs="Arial"/>
          <w:b/>
          <w:sz w:val="24"/>
          <w:szCs w:val="24"/>
        </w:rPr>
      </w:pPr>
      <w:bookmarkStart w:id="0" w:name="_GoBack"/>
      <w:bookmarkEnd w:id="0"/>
      <w:r w:rsidRPr="002F0BFE">
        <w:rPr>
          <w:rFonts w:cs="Arial"/>
          <w:b/>
          <w:sz w:val="24"/>
          <w:szCs w:val="24"/>
        </w:rPr>
        <w:t xml:space="preserve">LCIA </w:t>
      </w:r>
      <w:r w:rsidR="00016AB5" w:rsidRPr="002F0BFE">
        <w:rPr>
          <w:rFonts w:cs="Arial"/>
          <w:b/>
          <w:sz w:val="24"/>
          <w:szCs w:val="24"/>
        </w:rPr>
        <w:t xml:space="preserve">Sydney </w:t>
      </w:r>
      <w:r w:rsidRPr="002F0BFE">
        <w:rPr>
          <w:rFonts w:cs="Arial"/>
          <w:b/>
          <w:sz w:val="24"/>
          <w:szCs w:val="24"/>
        </w:rPr>
        <w:t>Symposium Keynote Address</w:t>
      </w:r>
    </w:p>
    <w:p w14:paraId="5C1D24A3" w14:textId="77777777" w:rsidR="009F4E8F" w:rsidRPr="002F0BFE" w:rsidRDefault="009F4E8F" w:rsidP="00A12251">
      <w:pPr>
        <w:spacing w:line="360" w:lineRule="auto"/>
        <w:jc w:val="center"/>
        <w:rPr>
          <w:rFonts w:cs="Arial"/>
          <w:b/>
          <w:i/>
          <w:sz w:val="24"/>
          <w:szCs w:val="24"/>
        </w:rPr>
      </w:pPr>
      <w:r w:rsidRPr="002F0BFE">
        <w:rPr>
          <w:rFonts w:cs="Arial"/>
          <w:b/>
          <w:i/>
          <w:sz w:val="24"/>
          <w:szCs w:val="24"/>
        </w:rPr>
        <w:t>"</w:t>
      </w:r>
      <w:r w:rsidR="007C57A9" w:rsidRPr="002F0BFE">
        <w:rPr>
          <w:rFonts w:cs="Arial"/>
          <w:b/>
          <w:i/>
          <w:sz w:val="24"/>
          <w:szCs w:val="24"/>
        </w:rPr>
        <w:t>Australia</w:t>
      </w:r>
      <w:r w:rsidR="001C08DB" w:rsidRPr="002F0BFE">
        <w:rPr>
          <w:rFonts w:cs="Arial"/>
          <w:b/>
          <w:i/>
          <w:sz w:val="24"/>
          <w:szCs w:val="24"/>
        </w:rPr>
        <w:t xml:space="preserve"> as a Global Hub</w:t>
      </w:r>
      <w:r w:rsidRPr="002F0BFE">
        <w:rPr>
          <w:rFonts w:cs="Arial"/>
          <w:b/>
          <w:i/>
          <w:sz w:val="24"/>
          <w:szCs w:val="24"/>
        </w:rPr>
        <w:t>"</w:t>
      </w:r>
    </w:p>
    <w:p w14:paraId="6513611F" w14:textId="528961CB" w:rsidR="009F4E8F" w:rsidRPr="002F0BFE" w:rsidRDefault="00016AB5" w:rsidP="00A12251">
      <w:pPr>
        <w:spacing w:line="360" w:lineRule="auto"/>
        <w:jc w:val="center"/>
        <w:rPr>
          <w:rFonts w:cs="Arial"/>
          <w:b/>
          <w:sz w:val="24"/>
          <w:szCs w:val="24"/>
        </w:rPr>
      </w:pPr>
      <w:r w:rsidRPr="002F0BFE">
        <w:rPr>
          <w:rFonts w:cs="Arial"/>
          <w:b/>
          <w:sz w:val="24"/>
          <w:szCs w:val="24"/>
        </w:rPr>
        <w:t>8 October 2017</w:t>
      </w:r>
    </w:p>
    <w:p w14:paraId="3381CF49" w14:textId="77777777" w:rsidR="0048035C" w:rsidRPr="002F0BFE" w:rsidRDefault="009F4E8F" w:rsidP="00A12251">
      <w:pPr>
        <w:spacing w:line="360" w:lineRule="auto"/>
        <w:jc w:val="center"/>
        <w:rPr>
          <w:rFonts w:cs="Arial"/>
          <w:b/>
          <w:sz w:val="24"/>
          <w:szCs w:val="24"/>
        </w:rPr>
      </w:pPr>
      <w:r w:rsidRPr="002F0BFE">
        <w:rPr>
          <w:rFonts w:cs="Arial"/>
          <w:b/>
          <w:sz w:val="24"/>
          <w:szCs w:val="24"/>
        </w:rPr>
        <w:t>Professor Doug Jones AO</w:t>
      </w:r>
      <w:r w:rsidRPr="002F0BFE">
        <w:rPr>
          <w:rStyle w:val="FootnoteReference"/>
          <w:rFonts w:cs="Arial"/>
          <w:b/>
          <w:sz w:val="24"/>
          <w:szCs w:val="24"/>
        </w:rPr>
        <w:footnoteReference w:id="1"/>
      </w:r>
    </w:p>
    <w:p w14:paraId="15F9E203" w14:textId="77777777" w:rsidR="00FB17D1" w:rsidRPr="002F0BFE" w:rsidRDefault="002954A4" w:rsidP="008725A9">
      <w:pPr>
        <w:pStyle w:val="Heading1"/>
        <w:rPr>
          <w:sz w:val="24"/>
          <w:szCs w:val="24"/>
        </w:rPr>
      </w:pPr>
      <w:r w:rsidRPr="002F0BFE">
        <w:rPr>
          <w:sz w:val="24"/>
          <w:szCs w:val="24"/>
        </w:rPr>
        <w:t>Introduction</w:t>
      </w:r>
    </w:p>
    <w:p w14:paraId="2E60534D" w14:textId="21E5C029" w:rsidR="00FB17D1" w:rsidRPr="002F0BFE" w:rsidRDefault="007C57A9" w:rsidP="00A12251">
      <w:pPr>
        <w:spacing w:line="360" w:lineRule="auto"/>
        <w:jc w:val="both"/>
        <w:rPr>
          <w:rFonts w:cs="Arial"/>
          <w:sz w:val="24"/>
          <w:szCs w:val="24"/>
        </w:rPr>
      </w:pPr>
      <w:r w:rsidRPr="002F0BFE">
        <w:rPr>
          <w:rFonts w:cs="Arial"/>
          <w:sz w:val="24"/>
          <w:szCs w:val="24"/>
        </w:rPr>
        <w:t xml:space="preserve">It is </w:t>
      </w:r>
      <w:r w:rsidR="00C76C2F" w:rsidRPr="002F0BFE">
        <w:rPr>
          <w:rFonts w:cs="Arial"/>
          <w:sz w:val="24"/>
          <w:szCs w:val="24"/>
        </w:rPr>
        <w:t>an</w:t>
      </w:r>
      <w:r w:rsidRPr="002F0BFE">
        <w:rPr>
          <w:rFonts w:cs="Arial"/>
          <w:sz w:val="24"/>
          <w:szCs w:val="24"/>
        </w:rPr>
        <w:t xml:space="preserve"> honour to have been invited to deliver this keynote </w:t>
      </w:r>
      <w:r w:rsidR="00016AB5" w:rsidRPr="002F0BFE">
        <w:rPr>
          <w:rFonts w:cs="Arial"/>
          <w:sz w:val="24"/>
          <w:szCs w:val="24"/>
        </w:rPr>
        <w:t xml:space="preserve">to </w:t>
      </w:r>
      <w:r w:rsidR="00C76C2F" w:rsidRPr="002F0BFE">
        <w:rPr>
          <w:rFonts w:cs="Arial"/>
          <w:sz w:val="24"/>
          <w:szCs w:val="24"/>
        </w:rPr>
        <w:t>my friends and colleagues</w:t>
      </w:r>
      <w:r w:rsidRPr="002F0BFE">
        <w:rPr>
          <w:rFonts w:cs="Arial"/>
          <w:sz w:val="24"/>
          <w:szCs w:val="24"/>
        </w:rPr>
        <w:t xml:space="preserve"> of the international arbitration community present</w:t>
      </w:r>
      <w:r w:rsidR="00016AB5" w:rsidRPr="002F0BFE">
        <w:rPr>
          <w:rFonts w:cs="Arial"/>
          <w:sz w:val="24"/>
          <w:szCs w:val="24"/>
        </w:rPr>
        <w:t xml:space="preserve"> on the</w:t>
      </w:r>
      <w:r w:rsidR="00C76C2F" w:rsidRPr="002F0BFE">
        <w:rPr>
          <w:rFonts w:cs="Arial"/>
          <w:sz w:val="24"/>
          <w:szCs w:val="24"/>
        </w:rPr>
        <w:t xml:space="preserve"> occasion of this LCIA event in Sydney</w:t>
      </w:r>
      <w:r w:rsidRPr="002F0BFE">
        <w:rPr>
          <w:rFonts w:cs="Arial"/>
          <w:sz w:val="24"/>
          <w:szCs w:val="24"/>
        </w:rPr>
        <w:t xml:space="preserve">. </w:t>
      </w:r>
      <w:r w:rsidR="00FB17D1" w:rsidRPr="002F0BFE">
        <w:rPr>
          <w:rFonts w:cs="Arial"/>
          <w:sz w:val="24"/>
          <w:szCs w:val="24"/>
        </w:rPr>
        <w:t xml:space="preserve">I’d like to begin by acknowledging the Traditional Owners of the land on which we meet today, the </w:t>
      </w:r>
      <w:proofErr w:type="spellStart"/>
      <w:r w:rsidR="00FB17D1" w:rsidRPr="002F0BFE">
        <w:rPr>
          <w:rFonts w:cs="Arial"/>
          <w:sz w:val="24"/>
          <w:szCs w:val="24"/>
        </w:rPr>
        <w:t>Gadigal</w:t>
      </w:r>
      <w:proofErr w:type="spellEnd"/>
      <w:r w:rsidR="00FB17D1" w:rsidRPr="002F0BFE">
        <w:rPr>
          <w:rFonts w:cs="Arial"/>
          <w:sz w:val="24"/>
          <w:szCs w:val="24"/>
        </w:rPr>
        <w:t xml:space="preserve"> people of the Eora nation</w:t>
      </w:r>
      <w:r w:rsidR="00CB1A2F" w:rsidRPr="002F0BFE">
        <w:rPr>
          <w:rFonts w:cs="Arial"/>
          <w:sz w:val="24"/>
          <w:szCs w:val="24"/>
        </w:rPr>
        <w:t>,</w:t>
      </w:r>
      <w:r w:rsidR="00FB17D1" w:rsidRPr="002F0BFE">
        <w:rPr>
          <w:rFonts w:cs="Arial"/>
          <w:sz w:val="24"/>
          <w:szCs w:val="24"/>
        </w:rPr>
        <w:t xml:space="preserve"> and pay my respects to </w:t>
      </w:r>
      <w:r w:rsidR="008725A9" w:rsidRPr="002F0BFE">
        <w:rPr>
          <w:rFonts w:cs="Arial"/>
          <w:sz w:val="24"/>
          <w:szCs w:val="24"/>
        </w:rPr>
        <w:t xml:space="preserve">their </w:t>
      </w:r>
      <w:r w:rsidR="00FB17D1" w:rsidRPr="002F0BFE">
        <w:rPr>
          <w:rFonts w:cs="Arial"/>
          <w:sz w:val="24"/>
          <w:szCs w:val="24"/>
        </w:rPr>
        <w:t>Elders past and present.</w:t>
      </w:r>
    </w:p>
    <w:p w14:paraId="40686C04" w14:textId="7C0C9B5D" w:rsidR="00BC4340" w:rsidRPr="002F0BFE" w:rsidRDefault="00280D9E" w:rsidP="00A12251">
      <w:pPr>
        <w:spacing w:line="360" w:lineRule="auto"/>
        <w:jc w:val="both"/>
        <w:rPr>
          <w:rFonts w:cs="Arial"/>
          <w:sz w:val="24"/>
          <w:szCs w:val="24"/>
        </w:rPr>
      </w:pPr>
      <w:r w:rsidRPr="002F0BFE">
        <w:rPr>
          <w:rFonts w:cs="Arial"/>
          <w:sz w:val="24"/>
          <w:szCs w:val="24"/>
        </w:rPr>
        <w:t>A</w:t>
      </w:r>
      <w:r w:rsidR="00CB1A2F" w:rsidRPr="002F0BFE">
        <w:rPr>
          <w:rFonts w:cs="Arial"/>
          <w:sz w:val="24"/>
          <w:szCs w:val="24"/>
        </w:rPr>
        <w:t xml:space="preserve"> number of you are </w:t>
      </w:r>
      <w:r w:rsidRPr="002F0BFE">
        <w:rPr>
          <w:rFonts w:cs="Arial"/>
          <w:sz w:val="24"/>
          <w:szCs w:val="24"/>
        </w:rPr>
        <w:t xml:space="preserve">probably </w:t>
      </w:r>
      <w:r w:rsidR="00CB1A2F" w:rsidRPr="002F0BFE">
        <w:rPr>
          <w:rFonts w:cs="Arial"/>
          <w:sz w:val="24"/>
          <w:szCs w:val="24"/>
        </w:rPr>
        <w:t>still</w:t>
      </w:r>
      <w:r w:rsidRPr="002F0BFE">
        <w:rPr>
          <w:rFonts w:cs="Arial"/>
          <w:sz w:val="24"/>
          <w:szCs w:val="24"/>
        </w:rPr>
        <w:t xml:space="preserve"> recovering from</w:t>
      </w:r>
      <w:r w:rsidR="00CB1A2F" w:rsidRPr="002F0BFE">
        <w:rPr>
          <w:rFonts w:cs="Arial"/>
          <w:sz w:val="24"/>
          <w:szCs w:val="24"/>
        </w:rPr>
        <w:t xml:space="preserve"> the </w:t>
      </w:r>
      <w:r w:rsidR="00762241" w:rsidRPr="002F0BFE">
        <w:rPr>
          <w:rFonts w:cs="Arial"/>
          <w:sz w:val="24"/>
          <w:szCs w:val="24"/>
        </w:rPr>
        <w:t>lingering</w:t>
      </w:r>
      <w:r w:rsidR="00CB1A2F" w:rsidRPr="002F0BFE">
        <w:rPr>
          <w:rFonts w:cs="Arial"/>
          <w:sz w:val="24"/>
          <w:szCs w:val="24"/>
        </w:rPr>
        <w:t xml:space="preserve"> </w:t>
      </w:r>
      <w:r w:rsidR="00023786" w:rsidRPr="002F0BFE">
        <w:rPr>
          <w:rFonts w:cs="Arial"/>
          <w:sz w:val="24"/>
          <w:szCs w:val="24"/>
        </w:rPr>
        <w:t xml:space="preserve">jetlag </w:t>
      </w:r>
      <w:r w:rsidRPr="002F0BFE">
        <w:rPr>
          <w:rFonts w:cs="Arial"/>
          <w:sz w:val="24"/>
          <w:szCs w:val="24"/>
        </w:rPr>
        <w:t xml:space="preserve">of </w:t>
      </w:r>
      <w:r w:rsidR="00023786" w:rsidRPr="002F0BFE">
        <w:rPr>
          <w:rFonts w:cs="Arial"/>
          <w:sz w:val="24"/>
          <w:szCs w:val="24"/>
        </w:rPr>
        <w:t xml:space="preserve">your </w:t>
      </w:r>
      <w:r w:rsidR="00492E83" w:rsidRPr="002F0BFE">
        <w:rPr>
          <w:rFonts w:cs="Arial"/>
          <w:sz w:val="24"/>
          <w:szCs w:val="24"/>
        </w:rPr>
        <w:t>lengthy flights into Sydney</w:t>
      </w:r>
      <w:r w:rsidR="00023786" w:rsidRPr="002F0BFE">
        <w:rPr>
          <w:rFonts w:cs="Arial"/>
          <w:sz w:val="24"/>
          <w:szCs w:val="24"/>
        </w:rPr>
        <w:t>, and indeed w</w:t>
      </w:r>
      <w:r w:rsidR="00C76C2F" w:rsidRPr="002F0BFE">
        <w:rPr>
          <w:rFonts w:cs="Arial"/>
          <w:sz w:val="24"/>
          <w:szCs w:val="24"/>
        </w:rPr>
        <w:t>here better to do so than at this</w:t>
      </w:r>
      <w:r w:rsidR="00023786" w:rsidRPr="002F0BFE">
        <w:rPr>
          <w:rFonts w:cs="Arial"/>
          <w:sz w:val="24"/>
          <w:szCs w:val="24"/>
        </w:rPr>
        <w:t xml:space="preserve"> splendid office of Herbert Smith </w:t>
      </w:r>
      <w:proofErr w:type="spellStart"/>
      <w:r w:rsidR="00023786" w:rsidRPr="002F0BFE">
        <w:rPr>
          <w:rFonts w:cs="Arial"/>
          <w:sz w:val="24"/>
          <w:szCs w:val="24"/>
        </w:rPr>
        <w:t>Freehills</w:t>
      </w:r>
      <w:proofErr w:type="spellEnd"/>
      <w:r w:rsidR="00023786" w:rsidRPr="002F0BFE">
        <w:rPr>
          <w:rFonts w:cs="Arial"/>
          <w:sz w:val="24"/>
          <w:szCs w:val="24"/>
        </w:rPr>
        <w:t xml:space="preserve">, </w:t>
      </w:r>
      <w:r w:rsidR="00492E83" w:rsidRPr="002F0BFE">
        <w:rPr>
          <w:rFonts w:cs="Arial"/>
          <w:sz w:val="24"/>
          <w:szCs w:val="24"/>
        </w:rPr>
        <w:t>participating in</w:t>
      </w:r>
      <w:r w:rsidR="00023786" w:rsidRPr="002F0BFE">
        <w:rPr>
          <w:rFonts w:cs="Arial"/>
          <w:sz w:val="24"/>
          <w:szCs w:val="24"/>
        </w:rPr>
        <w:t xml:space="preserve"> </w:t>
      </w:r>
      <w:r w:rsidR="00492E83" w:rsidRPr="002F0BFE">
        <w:rPr>
          <w:rFonts w:cs="Arial"/>
          <w:sz w:val="24"/>
          <w:szCs w:val="24"/>
        </w:rPr>
        <w:t xml:space="preserve">interactive </w:t>
      </w:r>
      <w:r w:rsidR="0040639A" w:rsidRPr="002F0BFE">
        <w:rPr>
          <w:rFonts w:cs="Arial"/>
          <w:sz w:val="24"/>
          <w:szCs w:val="24"/>
        </w:rPr>
        <w:t xml:space="preserve">arbitration </w:t>
      </w:r>
      <w:r w:rsidR="00492E83" w:rsidRPr="002F0BFE">
        <w:rPr>
          <w:rFonts w:cs="Arial"/>
          <w:sz w:val="24"/>
          <w:szCs w:val="24"/>
        </w:rPr>
        <w:t>working sessions</w:t>
      </w:r>
      <w:r w:rsidR="00E1036A" w:rsidRPr="002F0BFE">
        <w:rPr>
          <w:rFonts w:cs="Arial"/>
          <w:sz w:val="24"/>
          <w:szCs w:val="24"/>
        </w:rPr>
        <w:t>,</w:t>
      </w:r>
      <w:r w:rsidR="00492E83" w:rsidRPr="002F0BFE">
        <w:rPr>
          <w:rFonts w:cs="Arial"/>
          <w:sz w:val="24"/>
          <w:szCs w:val="24"/>
        </w:rPr>
        <w:t xml:space="preserve"> and listening to </w:t>
      </w:r>
      <w:r w:rsidRPr="002F0BFE">
        <w:rPr>
          <w:rFonts w:cs="Arial"/>
          <w:sz w:val="24"/>
          <w:szCs w:val="24"/>
        </w:rPr>
        <w:t>a proud Australian</w:t>
      </w:r>
      <w:r w:rsidR="00492E83" w:rsidRPr="002F0BFE">
        <w:rPr>
          <w:rFonts w:cs="Arial"/>
          <w:sz w:val="24"/>
          <w:szCs w:val="24"/>
        </w:rPr>
        <w:t xml:space="preserve"> </w:t>
      </w:r>
      <w:r w:rsidR="003D7FE0" w:rsidRPr="002F0BFE">
        <w:rPr>
          <w:rFonts w:cs="Arial"/>
          <w:sz w:val="24"/>
          <w:szCs w:val="24"/>
        </w:rPr>
        <w:t xml:space="preserve">speak </w:t>
      </w:r>
      <w:r w:rsidR="00E1036A" w:rsidRPr="002F0BFE">
        <w:rPr>
          <w:rFonts w:cs="Arial"/>
          <w:sz w:val="24"/>
          <w:szCs w:val="24"/>
        </w:rPr>
        <w:t xml:space="preserve">on </w:t>
      </w:r>
      <w:r w:rsidR="00762241" w:rsidRPr="002F0BFE">
        <w:rPr>
          <w:rFonts w:cs="Arial"/>
          <w:sz w:val="24"/>
          <w:szCs w:val="24"/>
        </w:rPr>
        <w:t>"</w:t>
      </w:r>
      <w:r w:rsidR="0040639A" w:rsidRPr="002F0BFE">
        <w:rPr>
          <w:rFonts w:cs="Arial"/>
          <w:sz w:val="24"/>
          <w:szCs w:val="24"/>
        </w:rPr>
        <w:t>Australia</w:t>
      </w:r>
      <w:r w:rsidR="00492E83" w:rsidRPr="002F0BFE">
        <w:rPr>
          <w:rFonts w:cs="Arial"/>
          <w:sz w:val="24"/>
          <w:szCs w:val="24"/>
        </w:rPr>
        <w:t xml:space="preserve"> as a Global Hub</w:t>
      </w:r>
      <w:r w:rsidR="00762241" w:rsidRPr="002F0BFE">
        <w:rPr>
          <w:rFonts w:cs="Arial"/>
          <w:sz w:val="24"/>
          <w:szCs w:val="24"/>
        </w:rPr>
        <w:t>"</w:t>
      </w:r>
      <w:r w:rsidR="00492E83" w:rsidRPr="002F0BFE">
        <w:rPr>
          <w:rFonts w:cs="Arial"/>
          <w:sz w:val="24"/>
          <w:szCs w:val="24"/>
        </w:rPr>
        <w:t xml:space="preserve"> </w:t>
      </w:r>
      <w:r w:rsidR="0040639A" w:rsidRPr="002F0BFE">
        <w:rPr>
          <w:rFonts w:cs="Arial"/>
          <w:sz w:val="24"/>
          <w:szCs w:val="24"/>
        </w:rPr>
        <w:t>in</w:t>
      </w:r>
      <w:r w:rsidR="00B2749E" w:rsidRPr="002F0BFE">
        <w:rPr>
          <w:rFonts w:cs="Arial"/>
          <w:sz w:val="24"/>
          <w:szCs w:val="24"/>
        </w:rPr>
        <w:t xml:space="preserve"> the knowledge</w:t>
      </w:r>
      <w:r w:rsidR="00492E83" w:rsidRPr="002F0BFE">
        <w:rPr>
          <w:rFonts w:cs="Arial"/>
          <w:sz w:val="24"/>
          <w:szCs w:val="24"/>
        </w:rPr>
        <w:t xml:space="preserve"> that</w:t>
      </w:r>
      <w:r w:rsidR="00C76C2F" w:rsidRPr="002F0BFE">
        <w:rPr>
          <w:rFonts w:cs="Arial"/>
          <w:sz w:val="24"/>
          <w:szCs w:val="24"/>
        </w:rPr>
        <w:t xml:space="preserve"> </w:t>
      </w:r>
      <w:r w:rsidR="00492E83" w:rsidRPr="002F0BFE">
        <w:rPr>
          <w:rFonts w:cs="Arial"/>
          <w:sz w:val="24"/>
          <w:szCs w:val="24"/>
        </w:rPr>
        <w:t xml:space="preserve">I am the </w:t>
      </w:r>
      <w:r w:rsidR="00E1036A" w:rsidRPr="002F0BFE">
        <w:rPr>
          <w:rFonts w:cs="Arial"/>
          <w:sz w:val="24"/>
          <w:szCs w:val="24"/>
        </w:rPr>
        <w:t xml:space="preserve">last commitment </w:t>
      </w:r>
      <w:r w:rsidR="00016AB5" w:rsidRPr="002F0BFE">
        <w:rPr>
          <w:rFonts w:cs="Arial"/>
          <w:sz w:val="24"/>
          <w:szCs w:val="24"/>
        </w:rPr>
        <w:t>before</w:t>
      </w:r>
      <w:r w:rsidR="00492E83" w:rsidRPr="002F0BFE">
        <w:rPr>
          <w:rFonts w:cs="Arial"/>
          <w:sz w:val="24"/>
          <w:szCs w:val="24"/>
        </w:rPr>
        <w:t xml:space="preserve"> lunch. </w:t>
      </w:r>
    </w:p>
    <w:p w14:paraId="2C891920" w14:textId="215F207C" w:rsidR="008550F7" w:rsidRPr="002F0BFE" w:rsidRDefault="007A4900" w:rsidP="00A12251">
      <w:pPr>
        <w:spacing w:line="360" w:lineRule="auto"/>
        <w:jc w:val="both"/>
        <w:rPr>
          <w:rFonts w:cs="Arial"/>
          <w:sz w:val="24"/>
          <w:szCs w:val="24"/>
        </w:rPr>
      </w:pPr>
      <w:r w:rsidRPr="002F0BFE">
        <w:rPr>
          <w:rFonts w:cs="Arial"/>
          <w:sz w:val="24"/>
          <w:szCs w:val="24"/>
        </w:rPr>
        <w:t>It is often said that Sydney is Australia's gateway to the world</w:t>
      </w:r>
      <w:r w:rsidR="00A04CA9" w:rsidRPr="002F0BFE">
        <w:rPr>
          <w:rFonts w:cs="Arial"/>
          <w:sz w:val="24"/>
          <w:szCs w:val="24"/>
        </w:rPr>
        <w:t xml:space="preserve">. </w:t>
      </w:r>
      <w:r w:rsidR="00BC70DC" w:rsidRPr="002F0BFE">
        <w:rPr>
          <w:rFonts w:cs="Arial"/>
          <w:sz w:val="24"/>
          <w:szCs w:val="24"/>
        </w:rPr>
        <w:t>I</w:t>
      </w:r>
      <w:r w:rsidR="00B2749E" w:rsidRPr="002F0BFE">
        <w:rPr>
          <w:rFonts w:cs="Arial"/>
          <w:sz w:val="24"/>
          <w:szCs w:val="24"/>
        </w:rPr>
        <w:t>n March this year</w:t>
      </w:r>
      <w:r w:rsidRPr="002F0BFE">
        <w:rPr>
          <w:rFonts w:cs="Arial"/>
          <w:sz w:val="24"/>
          <w:szCs w:val="24"/>
        </w:rPr>
        <w:t xml:space="preserve"> </w:t>
      </w:r>
      <w:r w:rsidR="00A04CA9" w:rsidRPr="002F0BFE">
        <w:rPr>
          <w:rFonts w:cs="Arial"/>
          <w:sz w:val="24"/>
          <w:szCs w:val="24"/>
        </w:rPr>
        <w:t>the competitiveness of Sydney as a commercial centre</w:t>
      </w:r>
      <w:r w:rsidRPr="002F0BFE">
        <w:rPr>
          <w:rFonts w:cs="Arial"/>
          <w:sz w:val="24"/>
          <w:szCs w:val="24"/>
        </w:rPr>
        <w:t xml:space="preserve"> was ranked 8th in the</w:t>
      </w:r>
      <w:r w:rsidR="00A04CA9" w:rsidRPr="002F0BFE">
        <w:rPr>
          <w:rFonts w:cs="Arial"/>
          <w:sz w:val="24"/>
          <w:szCs w:val="24"/>
        </w:rPr>
        <w:t xml:space="preserve"> world in the</w:t>
      </w:r>
      <w:r w:rsidRPr="002F0BFE">
        <w:rPr>
          <w:rFonts w:cs="Arial"/>
          <w:sz w:val="24"/>
          <w:szCs w:val="24"/>
        </w:rPr>
        <w:t xml:space="preserve"> 21st Global Financial Centres Index.</w:t>
      </w:r>
      <w:r w:rsidRPr="002F0BFE">
        <w:rPr>
          <w:rStyle w:val="FootnoteReference"/>
          <w:rFonts w:cs="Arial"/>
          <w:sz w:val="24"/>
          <w:szCs w:val="24"/>
        </w:rPr>
        <w:footnoteReference w:id="2"/>
      </w:r>
      <w:r w:rsidRPr="002F0BFE">
        <w:rPr>
          <w:rFonts w:cs="Arial"/>
          <w:sz w:val="24"/>
          <w:szCs w:val="24"/>
        </w:rPr>
        <w:t xml:space="preserve"> In the Asia-Pacific Region, Sydney </w:t>
      </w:r>
      <w:r w:rsidR="00A04CA9" w:rsidRPr="002F0BFE">
        <w:rPr>
          <w:rFonts w:cs="Arial"/>
          <w:sz w:val="24"/>
          <w:szCs w:val="24"/>
        </w:rPr>
        <w:t xml:space="preserve">was </w:t>
      </w:r>
      <w:r w:rsidRPr="002F0BFE">
        <w:rPr>
          <w:rFonts w:cs="Arial"/>
          <w:sz w:val="24"/>
          <w:szCs w:val="24"/>
        </w:rPr>
        <w:t>ranked 4th</w:t>
      </w:r>
      <w:r w:rsidR="00A04CA9" w:rsidRPr="002F0BFE">
        <w:rPr>
          <w:rFonts w:cs="Arial"/>
          <w:sz w:val="24"/>
          <w:szCs w:val="24"/>
        </w:rPr>
        <w:t>,</w:t>
      </w:r>
      <w:r w:rsidRPr="002F0BFE">
        <w:rPr>
          <w:rFonts w:cs="Arial"/>
          <w:sz w:val="24"/>
          <w:szCs w:val="24"/>
        </w:rPr>
        <w:t xml:space="preserve"> behind Singapore, Hong Kong and Tokyo.</w:t>
      </w:r>
      <w:r w:rsidRPr="002F0BFE">
        <w:rPr>
          <w:rStyle w:val="FootnoteReference"/>
          <w:rFonts w:cs="Arial"/>
          <w:sz w:val="24"/>
          <w:szCs w:val="24"/>
        </w:rPr>
        <w:footnoteReference w:id="3"/>
      </w:r>
      <w:r w:rsidR="00A04CA9" w:rsidRPr="002F0BFE">
        <w:rPr>
          <w:rFonts w:cs="Arial"/>
          <w:sz w:val="24"/>
          <w:szCs w:val="24"/>
        </w:rPr>
        <w:t xml:space="preserve"> </w:t>
      </w:r>
      <w:r w:rsidR="00C3273B" w:rsidRPr="002F0BFE">
        <w:rPr>
          <w:rFonts w:cs="Arial"/>
          <w:sz w:val="24"/>
          <w:szCs w:val="24"/>
        </w:rPr>
        <w:t>And also</w:t>
      </w:r>
      <w:r w:rsidR="00BC70DC" w:rsidRPr="002F0BFE">
        <w:rPr>
          <w:rFonts w:cs="Arial"/>
          <w:sz w:val="24"/>
          <w:szCs w:val="24"/>
        </w:rPr>
        <w:t xml:space="preserve"> in </w:t>
      </w:r>
      <w:r w:rsidR="00F27DE7" w:rsidRPr="002F0BFE">
        <w:rPr>
          <w:rFonts w:cs="Arial"/>
          <w:sz w:val="24"/>
          <w:szCs w:val="24"/>
        </w:rPr>
        <w:t>March</w:t>
      </w:r>
      <w:r w:rsidR="00BC70DC" w:rsidRPr="002F0BFE">
        <w:rPr>
          <w:rFonts w:cs="Arial"/>
          <w:sz w:val="24"/>
          <w:szCs w:val="24"/>
        </w:rPr>
        <w:t xml:space="preserve">, Australia took the record for the longest run of uninterrupted GDP growth in the developed world, </w:t>
      </w:r>
      <w:r w:rsidR="00F27DE7" w:rsidRPr="002F0BFE">
        <w:rPr>
          <w:rFonts w:cs="Arial"/>
          <w:sz w:val="24"/>
          <w:szCs w:val="24"/>
        </w:rPr>
        <w:t>enjoying 26 years</w:t>
      </w:r>
      <w:r w:rsidR="005D1575" w:rsidRPr="002F0BFE">
        <w:rPr>
          <w:rFonts w:cs="Arial"/>
          <w:sz w:val="24"/>
          <w:szCs w:val="24"/>
        </w:rPr>
        <w:t xml:space="preserve"> or 103 financial quarters</w:t>
      </w:r>
      <w:r w:rsidR="00F27DE7" w:rsidRPr="002F0BFE">
        <w:rPr>
          <w:rFonts w:cs="Arial"/>
          <w:sz w:val="24"/>
          <w:szCs w:val="24"/>
        </w:rPr>
        <w:t xml:space="preserve"> </w:t>
      </w:r>
      <w:r w:rsidR="00BC70DC" w:rsidRPr="002F0BFE">
        <w:rPr>
          <w:rFonts w:cs="Arial"/>
          <w:sz w:val="24"/>
          <w:szCs w:val="24"/>
        </w:rPr>
        <w:t xml:space="preserve">since </w:t>
      </w:r>
      <w:r w:rsidR="00F27DE7" w:rsidRPr="002F0BFE">
        <w:rPr>
          <w:rFonts w:cs="Arial"/>
          <w:sz w:val="24"/>
          <w:szCs w:val="24"/>
        </w:rPr>
        <w:t>its last</w:t>
      </w:r>
      <w:r w:rsidR="00BC70DC" w:rsidRPr="002F0BFE">
        <w:rPr>
          <w:rFonts w:cs="Arial"/>
          <w:sz w:val="24"/>
          <w:szCs w:val="24"/>
        </w:rPr>
        <w:t xml:space="preserve"> technical recession</w:t>
      </w:r>
      <w:r w:rsidR="005D1575" w:rsidRPr="002F0BFE">
        <w:rPr>
          <w:rFonts w:cs="Arial"/>
          <w:sz w:val="24"/>
          <w:szCs w:val="24"/>
        </w:rPr>
        <w:t>, now 104 as of June</w:t>
      </w:r>
      <w:r w:rsidR="00BC70DC" w:rsidRPr="002F0BFE">
        <w:rPr>
          <w:rFonts w:cs="Arial"/>
          <w:sz w:val="24"/>
          <w:szCs w:val="24"/>
        </w:rPr>
        <w:t>.</w:t>
      </w:r>
      <w:r w:rsidR="00BC70DC" w:rsidRPr="002F0BFE">
        <w:rPr>
          <w:rStyle w:val="FootnoteReference"/>
          <w:rFonts w:cs="Arial"/>
          <w:sz w:val="24"/>
          <w:szCs w:val="24"/>
        </w:rPr>
        <w:footnoteReference w:id="4"/>
      </w:r>
      <w:r w:rsidR="00BC70DC" w:rsidRPr="002F0BFE">
        <w:rPr>
          <w:rFonts w:cs="Arial"/>
          <w:sz w:val="24"/>
          <w:szCs w:val="24"/>
        </w:rPr>
        <w:t xml:space="preserve"> </w:t>
      </w:r>
      <w:r w:rsidR="00A04CA9" w:rsidRPr="002F0BFE">
        <w:rPr>
          <w:rFonts w:cs="Arial"/>
          <w:sz w:val="24"/>
          <w:szCs w:val="24"/>
        </w:rPr>
        <w:t xml:space="preserve">These assessments indicate that whilst Sydney may be Australia's gateway to the world, that gateway </w:t>
      </w:r>
      <w:r w:rsidR="00F27DE7" w:rsidRPr="002F0BFE">
        <w:rPr>
          <w:rFonts w:cs="Arial"/>
          <w:sz w:val="24"/>
          <w:szCs w:val="24"/>
        </w:rPr>
        <w:t xml:space="preserve">is nowadays a two-way street, and </w:t>
      </w:r>
      <w:r w:rsidR="00A04CA9" w:rsidRPr="002F0BFE">
        <w:rPr>
          <w:rFonts w:cs="Arial"/>
          <w:sz w:val="24"/>
          <w:szCs w:val="24"/>
        </w:rPr>
        <w:t>indeed</w:t>
      </w:r>
      <w:r w:rsidR="00F27DE7" w:rsidRPr="002F0BFE">
        <w:rPr>
          <w:rFonts w:cs="Arial"/>
          <w:sz w:val="24"/>
          <w:szCs w:val="24"/>
        </w:rPr>
        <w:t>, Sydney is</w:t>
      </w:r>
      <w:r w:rsidR="00A04CA9" w:rsidRPr="002F0BFE">
        <w:rPr>
          <w:rFonts w:cs="Arial"/>
          <w:sz w:val="24"/>
          <w:szCs w:val="24"/>
        </w:rPr>
        <w:t xml:space="preserve"> also the world's gateway to Australia and the </w:t>
      </w:r>
      <w:r w:rsidR="00217E57" w:rsidRPr="002F0BFE">
        <w:rPr>
          <w:rFonts w:cs="Arial"/>
          <w:sz w:val="24"/>
          <w:szCs w:val="24"/>
        </w:rPr>
        <w:t xml:space="preserve">Asia </w:t>
      </w:r>
      <w:r w:rsidR="00A04CA9" w:rsidRPr="002F0BFE">
        <w:rPr>
          <w:rFonts w:cs="Arial"/>
          <w:sz w:val="24"/>
          <w:szCs w:val="24"/>
        </w:rPr>
        <w:t xml:space="preserve">Pacific. </w:t>
      </w:r>
    </w:p>
    <w:p w14:paraId="2295AE54" w14:textId="6F0EF539" w:rsidR="00DF6906" w:rsidRPr="002F0BFE" w:rsidRDefault="005D1575" w:rsidP="00A12251">
      <w:pPr>
        <w:spacing w:line="360" w:lineRule="auto"/>
        <w:jc w:val="both"/>
        <w:rPr>
          <w:rFonts w:cs="Arial"/>
          <w:sz w:val="24"/>
          <w:szCs w:val="24"/>
        </w:rPr>
      </w:pPr>
      <w:r w:rsidRPr="002F0BFE">
        <w:rPr>
          <w:rFonts w:cs="Arial"/>
          <w:sz w:val="24"/>
          <w:szCs w:val="24"/>
        </w:rPr>
        <w:lastRenderedPageBreak/>
        <w:t xml:space="preserve">In my view, there is no better time in history to be an Australian </w:t>
      </w:r>
      <w:r w:rsidR="007C57A9" w:rsidRPr="002F0BFE">
        <w:rPr>
          <w:rFonts w:cs="Arial"/>
          <w:sz w:val="24"/>
          <w:szCs w:val="24"/>
        </w:rPr>
        <w:t xml:space="preserve">arbitration </w:t>
      </w:r>
      <w:r w:rsidRPr="002F0BFE">
        <w:rPr>
          <w:rFonts w:cs="Arial"/>
          <w:sz w:val="24"/>
          <w:szCs w:val="24"/>
        </w:rPr>
        <w:t xml:space="preserve">practitioner, and many would agree that the </w:t>
      </w:r>
      <w:r w:rsidR="005B34B8" w:rsidRPr="002F0BFE">
        <w:rPr>
          <w:rFonts w:cs="Arial"/>
          <w:sz w:val="24"/>
          <w:szCs w:val="24"/>
        </w:rPr>
        <w:t xml:space="preserve">growing </w:t>
      </w:r>
      <w:r w:rsidRPr="002F0BFE">
        <w:rPr>
          <w:rFonts w:cs="Arial"/>
          <w:sz w:val="24"/>
          <w:szCs w:val="24"/>
        </w:rPr>
        <w:t xml:space="preserve">significance of Australia in the international business and legal world is unprecedented given our country's roots as a convict settlement whose </w:t>
      </w:r>
      <w:r w:rsidR="00DF5034" w:rsidRPr="002F0BFE">
        <w:rPr>
          <w:rFonts w:cs="Arial"/>
          <w:sz w:val="24"/>
          <w:szCs w:val="24"/>
        </w:rPr>
        <w:t>survival</w:t>
      </w:r>
      <w:r w:rsidRPr="002F0BFE">
        <w:rPr>
          <w:rFonts w:cs="Arial"/>
          <w:sz w:val="24"/>
          <w:szCs w:val="24"/>
        </w:rPr>
        <w:t xml:space="preserve"> was nearly entirely dependent on Engl</w:t>
      </w:r>
      <w:r w:rsidR="007B6058" w:rsidRPr="002F0BFE">
        <w:rPr>
          <w:rFonts w:cs="Arial"/>
          <w:sz w:val="24"/>
          <w:szCs w:val="24"/>
        </w:rPr>
        <w:t>and</w:t>
      </w:r>
      <w:r w:rsidR="00DF5034" w:rsidRPr="002F0BFE">
        <w:rPr>
          <w:rFonts w:cs="Arial"/>
          <w:sz w:val="24"/>
          <w:szCs w:val="24"/>
        </w:rPr>
        <w:t xml:space="preserve"> for the majority of our </w:t>
      </w:r>
      <w:r w:rsidR="007C57A9" w:rsidRPr="002F0BFE">
        <w:rPr>
          <w:rFonts w:cs="Arial"/>
          <w:sz w:val="24"/>
          <w:szCs w:val="24"/>
        </w:rPr>
        <w:t xml:space="preserve">early </w:t>
      </w:r>
      <w:r w:rsidR="00DF5034" w:rsidRPr="002F0BFE">
        <w:rPr>
          <w:rFonts w:cs="Arial"/>
          <w:sz w:val="24"/>
          <w:szCs w:val="24"/>
        </w:rPr>
        <w:t>history</w:t>
      </w:r>
      <w:r w:rsidRPr="002F0BFE">
        <w:rPr>
          <w:rFonts w:cs="Arial"/>
          <w:sz w:val="24"/>
          <w:szCs w:val="24"/>
        </w:rPr>
        <w:t>.</w:t>
      </w:r>
      <w:r w:rsidR="007B6058" w:rsidRPr="002F0BFE">
        <w:rPr>
          <w:rFonts w:cs="Arial"/>
          <w:sz w:val="24"/>
          <w:szCs w:val="24"/>
        </w:rPr>
        <w:t xml:space="preserve"> O</w:t>
      </w:r>
      <w:r w:rsidR="00DF6906" w:rsidRPr="002F0BFE">
        <w:rPr>
          <w:rFonts w:cs="Arial"/>
          <w:sz w:val="24"/>
          <w:szCs w:val="24"/>
        </w:rPr>
        <w:t xml:space="preserve">ne cannot forget </w:t>
      </w:r>
      <w:r w:rsidR="00217E57" w:rsidRPr="002F0BFE">
        <w:rPr>
          <w:rFonts w:cs="Arial"/>
          <w:sz w:val="24"/>
          <w:szCs w:val="24"/>
        </w:rPr>
        <w:t xml:space="preserve">the tyranny of distance </w:t>
      </w:r>
      <w:r w:rsidR="00DF6906" w:rsidRPr="002F0BFE">
        <w:rPr>
          <w:rFonts w:cs="Arial"/>
          <w:sz w:val="24"/>
          <w:szCs w:val="24"/>
        </w:rPr>
        <w:t xml:space="preserve">which has </w:t>
      </w:r>
      <w:r w:rsidR="00F95079" w:rsidRPr="002F0BFE">
        <w:rPr>
          <w:rFonts w:cs="Arial"/>
          <w:sz w:val="24"/>
          <w:szCs w:val="24"/>
        </w:rPr>
        <w:t xml:space="preserve">so </w:t>
      </w:r>
      <w:r w:rsidR="00DA4DE7" w:rsidRPr="002F0BFE">
        <w:rPr>
          <w:rFonts w:cs="Arial"/>
          <w:sz w:val="24"/>
          <w:szCs w:val="24"/>
        </w:rPr>
        <w:t>characterised</w:t>
      </w:r>
      <w:r w:rsidR="00E54C90" w:rsidRPr="002F0BFE">
        <w:rPr>
          <w:rFonts w:cs="Arial"/>
          <w:sz w:val="24"/>
          <w:szCs w:val="24"/>
        </w:rPr>
        <w:t xml:space="preserve"> </w:t>
      </w:r>
      <w:r w:rsidR="00F95079" w:rsidRPr="002F0BFE">
        <w:rPr>
          <w:rFonts w:cs="Arial"/>
          <w:sz w:val="24"/>
          <w:szCs w:val="24"/>
        </w:rPr>
        <w:t>Australian history</w:t>
      </w:r>
      <w:r w:rsidR="00E54C90" w:rsidRPr="002F0BFE">
        <w:rPr>
          <w:rFonts w:cs="Arial"/>
          <w:sz w:val="24"/>
          <w:szCs w:val="24"/>
        </w:rPr>
        <w:t xml:space="preserve">, </w:t>
      </w:r>
      <w:r w:rsidR="00217E57" w:rsidRPr="002F0BFE">
        <w:rPr>
          <w:rFonts w:cs="Arial"/>
          <w:sz w:val="24"/>
          <w:szCs w:val="24"/>
        </w:rPr>
        <w:t xml:space="preserve">the phrase itself </w:t>
      </w:r>
      <w:r w:rsidR="00E54C90" w:rsidRPr="002F0BFE">
        <w:rPr>
          <w:rFonts w:cs="Arial"/>
          <w:sz w:val="24"/>
          <w:szCs w:val="24"/>
        </w:rPr>
        <w:t>coined</w:t>
      </w:r>
      <w:r w:rsidR="007C57A9" w:rsidRPr="002F0BFE">
        <w:rPr>
          <w:rFonts w:cs="Arial"/>
          <w:sz w:val="24"/>
          <w:szCs w:val="24"/>
        </w:rPr>
        <w:t xml:space="preserve"> in 1966</w:t>
      </w:r>
      <w:r w:rsidR="00E54C90" w:rsidRPr="002F0BFE">
        <w:rPr>
          <w:rFonts w:cs="Arial"/>
          <w:sz w:val="24"/>
          <w:szCs w:val="24"/>
        </w:rPr>
        <w:t xml:space="preserve"> by the </w:t>
      </w:r>
      <w:r w:rsidR="00F95079" w:rsidRPr="002F0BFE">
        <w:rPr>
          <w:rFonts w:cs="Arial"/>
          <w:sz w:val="24"/>
          <w:szCs w:val="24"/>
        </w:rPr>
        <w:t>renowned</w:t>
      </w:r>
      <w:r w:rsidR="00217E57" w:rsidRPr="002F0BFE">
        <w:rPr>
          <w:rFonts w:cs="Arial"/>
          <w:sz w:val="24"/>
          <w:szCs w:val="24"/>
        </w:rPr>
        <w:t xml:space="preserve"> Australian</w:t>
      </w:r>
      <w:r w:rsidR="00F95079" w:rsidRPr="002F0BFE">
        <w:rPr>
          <w:rFonts w:cs="Arial"/>
          <w:sz w:val="24"/>
          <w:szCs w:val="24"/>
        </w:rPr>
        <w:t xml:space="preserve"> </w:t>
      </w:r>
      <w:r w:rsidR="00E54C90" w:rsidRPr="002F0BFE">
        <w:rPr>
          <w:rFonts w:cs="Arial"/>
          <w:sz w:val="24"/>
          <w:szCs w:val="24"/>
        </w:rPr>
        <w:t xml:space="preserve">historian Geoffrey </w:t>
      </w:r>
      <w:proofErr w:type="spellStart"/>
      <w:r w:rsidR="00E54C90" w:rsidRPr="002F0BFE">
        <w:rPr>
          <w:rFonts w:cs="Arial"/>
          <w:sz w:val="24"/>
          <w:szCs w:val="24"/>
        </w:rPr>
        <w:t>Blainey</w:t>
      </w:r>
      <w:proofErr w:type="spellEnd"/>
      <w:r w:rsidR="00F95079" w:rsidRPr="002F0BFE">
        <w:rPr>
          <w:rFonts w:cs="Arial"/>
          <w:sz w:val="24"/>
          <w:szCs w:val="24"/>
        </w:rPr>
        <w:t xml:space="preserve">. </w:t>
      </w:r>
      <w:r w:rsidR="00E54C90" w:rsidRPr="002F0BFE">
        <w:rPr>
          <w:rFonts w:cs="Arial"/>
          <w:sz w:val="24"/>
          <w:szCs w:val="24"/>
        </w:rPr>
        <w:t xml:space="preserve"> </w:t>
      </w:r>
    </w:p>
    <w:p w14:paraId="634D995A" w14:textId="2994C40E" w:rsidR="00F95079" w:rsidRPr="002F0BFE" w:rsidRDefault="00DF6906" w:rsidP="007C57A9">
      <w:pPr>
        <w:spacing w:line="360" w:lineRule="auto"/>
        <w:jc w:val="both"/>
        <w:rPr>
          <w:rFonts w:cs="Arial"/>
          <w:sz w:val="24"/>
          <w:szCs w:val="24"/>
        </w:rPr>
      </w:pPr>
      <w:r w:rsidRPr="002F0BFE">
        <w:rPr>
          <w:rFonts w:cs="Arial"/>
          <w:sz w:val="24"/>
          <w:szCs w:val="24"/>
        </w:rPr>
        <w:t>I thought that this</w:t>
      </w:r>
      <w:r w:rsidR="00F95079" w:rsidRPr="002F0BFE">
        <w:rPr>
          <w:rFonts w:cs="Arial"/>
          <w:sz w:val="24"/>
          <w:szCs w:val="24"/>
        </w:rPr>
        <w:t xml:space="preserve"> phrase</w:t>
      </w:r>
      <w:r w:rsidRPr="002F0BFE">
        <w:rPr>
          <w:rFonts w:cs="Arial"/>
          <w:sz w:val="24"/>
          <w:szCs w:val="24"/>
        </w:rPr>
        <w:t xml:space="preserve"> would make a good </w:t>
      </w:r>
      <w:r w:rsidR="005A55EE" w:rsidRPr="002F0BFE">
        <w:rPr>
          <w:rFonts w:cs="Arial"/>
          <w:sz w:val="24"/>
          <w:szCs w:val="24"/>
        </w:rPr>
        <w:t xml:space="preserve">springboard </w:t>
      </w:r>
      <w:r w:rsidR="00DA4DE7" w:rsidRPr="002F0BFE">
        <w:rPr>
          <w:rFonts w:cs="Arial"/>
          <w:sz w:val="24"/>
          <w:szCs w:val="24"/>
        </w:rPr>
        <w:t xml:space="preserve">for my </w:t>
      </w:r>
      <w:r w:rsidR="00D4444A" w:rsidRPr="002F0BFE">
        <w:rPr>
          <w:rFonts w:cs="Arial"/>
          <w:sz w:val="24"/>
          <w:szCs w:val="24"/>
        </w:rPr>
        <w:t>speech</w:t>
      </w:r>
      <w:r w:rsidR="00DA4DE7" w:rsidRPr="002F0BFE">
        <w:rPr>
          <w:rFonts w:cs="Arial"/>
          <w:sz w:val="24"/>
          <w:szCs w:val="24"/>
        </w:rPr>
        <w:t xml:space="preserve"> today.</w:t>
      </w:r>
      <w:r w:rsidRPr="002F0BFE">
        <w:rPr>
          <w:rFonts w:cs="Arial"/>
          <w:sz w:val="24"/>
          <w:szCs w:val="24"/>
        </w:rPr>
        <w:t xml:space="preserve"> I intend to broadly explore the developing international arbitration scene in Australia</w:t>
      </w:r>
      <w:r w:rsidR="00F95079" w:rsidRPr="002F0BFE">
        <w:rPr>
          <w:rFonts w:cs="Arial"/>
          <w:sz w:val="24"/>
          <w:szCs w:val="24"/>
        </w:rPr>
        <w:t xml:space="preserve"> </w:t>
      </w:r>
      <w:r w:rsidR="00DA4DE7" w:rsidRPr="002F0BFE">
        <w:rPr>
          <w:rFonts w:cs="Arial"/>
          <w:sz w:val="24"/>
          <w:szCs w:val="24"/>
        </w:rPr>
        <w:t xml:space="preserve">and I will do so </w:t>
      </w:r>
      <w:r w:rsidR="00F95079" w:rsidRPr="002F0BFE">
        <w:rPr>
          <w:rFonts w:cs="Arial"/>
          <w:sz w:val="24"/>
          <w:szCs w:val="24"/>
        </w:rPr>
        <w:t>in three parts</w:t>
      </w:r>
      <w:r w:rsidR="002954A4" w:rsidRPr="002F0BFE">
        <w:rPr>
          <w:rFonts w:cs="Arial"/>
          <w:sz w:val="24"/>
          <w:szCs w:val="24"/>
        </w:rPr>
        <w:t>, beginning first</w:t>
      </w:r>
      <w:r w:rsidR="00F95079" w:rsidRPr="002F0BFE">
        <w:rPr>
          <w:rFonts w:cs="Arial"/>
          <w:sz w:val="24"/>
          <w:szCs w:val="24"/>
        </w:rPr>
        <w:t xml:space="preserve"> with a brief note on Geoffrey </w:t>
      </w:r>
      <w:proofErr w:type="spellStart"/>
      <w:r w:rsidR="00F95079" w:rsidRPr="002F0BFE">
        <w:rPr>
          <w:rFonts w:cs="Arial"/>
          <w:sz w:val="24"/>
          <w:szCs w:val="24"/>
        </w:rPr>
        <w:t>Blainey's</w:t>
      </w:r>
      <w:proofErr w:type="spellEnd"/>
      <w:r w:rsidR="00F95079" w:rsidRPr="002F0BFE">
        <w:rPr>
          <w:rFonts w:cs="Arial"/>
          <w:sz w:val="24"/>
          <w:szCs w:val="24"/>
        </w:rPr>
        <w:t xml:space="preserve"> seminal history, "The Tyranny of Distance", to set the scene for the challenges that Australia has overcome </w:t>
      </w:r>
      <w:r w:rsidR="002954A4" w:rsidRPr="002F0BFE">
        <w:rPr>
          <w:rFonts w:cs="Arial"/>
          <w:sz w:val="24"/>
          <w:szCs w:val="24"/>
        </w:rPr>
        <w:t>in achieving</w:t>
      </w:r>
      <w:r w:rsidR="00F95079" w:rsidRPr="002F0BFE">
        <w:rPr>
          <w:rFonts w:cs="Arial"/>
          <w:sz w:val="24"/>
          <w:szCs w:val="24"/>
        </w:rPr>
        <w:t xml:space="preserve"> its international aspirations. </w:t>
      </w:r>
      <w:r w:rsidR="007C57A9" w:rsidRPr="002F0BFE">
        <w:rPr>
          <w:rFonts w:cs="Arial"/>
          <w:sz w:val="24"/>
          <w:szCs w:val="24"/>
        </w:rPr>
        <w:t>From there I will explore some of the practical observations which I believe will continue to ensure that international arbitration thrives in Australia, before finishing with a discussion</w:t>
      </w:r>
      <w:r w:rsidR="007B6058" w:rsidRPr="002F0BFE">
        <w:rPr>
          <w:rFonts w:cs="Arial"/>
          <w:sz w:val="24"/>
          <w:szCs w:val="24"/>
        </w:rPr>
        <w:t xml:space="preserve"> of</w:t>
      </w:r>
      <w:r w:rsidR="007C57A9" w:rsidRPr="002F0BFE">
        <w:rPr>
          <w:rFonts w:cs="Arial"/>
          <w:sz w:val="24"/>
          <w:szCs w:val="24"/>
        </w:rPr>
        <w:t xml:space="preserve"> </w:t>
      </w:r>
      <w:r w:rsidR="00F95079" w:rsidRPr="002F0BFE">
        <w:rPr>
          <w:rFonts w:cs="Arial"/>
          <w:sz w:val="24"/>
          <w:szCs w:val="24"/>
        </w:rPr>
        <w:t xml:space="preserve">the legal framework by which international arbitration has become </w:t>
      </w:r>
      <w:r w:rsidR="002954A4" w:rsidRPr="002F0BFE">
        <w:rPr>
          <w:rFonts w:cs="Arial"/>
          <w:sz w:val="24"/>
          <w:szCs w:val="24"/>
        </w:rPr>
        <w:t>embedded in our legal system</w:t>
      </w:r>
      <w:r w:rsidR="007C57A9" w:rsidRPr="002F0BFE">
        <w:rPr>
          <w:rFonts w:cs="Arial"/>
          <w:sz w:val="24"/>
          <w:szCs w:val="24"/>
        </w:rPr>
        <w:t>.</w:t>
      </w:r>
    </w:p>
    <w:p w14:paraId="3301092B" w14:textId="73DFC854" w:rsidR="002954A4" w:rsidRPr="002F0BFE" w:rsidRDefault="00772C5B" w:rsidP="00A12251">
      <w:pPr>
        <w:spacing w:line="360" w:lineRule="auto"/>
        <w:jc w:val="both"/>
        <w:rPr>
          <w:rFonts w:cs="Arial"/>
          <w:sz w:val="24"/>
          <w:szCs w:val="24"/>
        </w:rPr>
      </w:pPr>
      <w:r w:rsidRPr="002F0BFE">
        <w:rPr>
          <w:rFonts w:cs="Arial"/>
          <w:sz w:val="24"/>
          <w:szCs w:val="24"/>
        </w:rPr>
        <w:t>The message that I would like to leave you with today is</w:t>
      </w:r>
      <w:r w:rsidR="002954A4" w:rsidRPr="002F0BFE">
        <w:rPr>
          <w:rFonts w:cs="Arial"/>
          <w:sz w:val="24"/>
          <w:szCs w:val="24"/>
        </w:rPr>
        <w:t xml:space="preserve"> that Australia has </w:t>
      </w:r>
      <w:r w:rsidR="007C57A9" w:rsidRPr="002F0BFE">
        <w:rPr>
          <w:rFonts w:cs="Arial"/>
          <w:sz w:val="24"/>
          <w:szCs w:val="24"/>
        </w:rPr>
        <w:t>positioned</w:t>
      </w:r>
      <w:r w:rsidR="002954A4" w:rsidRPr="002F0BFE">
        <w:rPr>
          <w:rFonts w:cs="Arial"/>
          <w:sz w:val="24"/>
          <w:szCs w:val="24"/>
        </w:rPr>
        <w:t xml:space="preserve"> itself as an attractive venue for international arbitration</w:t>
      </w:r>
      <w:r w:rsidR="00217E57" w:rsidRPr="002F0BFE">
        <w:rPr>
          <w:rFonts w:cs="Arial"/>
          <w:sz w:val="24"/>
          <w:szCs w:val="24"/>
        </w:rPr>
        <w:t xml:space="preserve"> in the Asia Pacific and global stage</w:t>
      </w:r>
      <w:r w:rsidR="002954A4" w:rsidRPr="002F0BFE">
        <w:rPr>
          <w:rFonts w:cs="Arial"/>
          <w:sz w:val="24"/>
          <w:szCs w:val="24"/>
        </w:rPr>
        <w:t xml:space="preserve">.  </w:t>
      </w:r>
    </w:p>
    <w:p w14:paraId="49C99555" w14:textId="77777777" w:rsidR="0057668F" w:rsidRPr="002F0BFE" w:rsidRDefault="0057668F" w:rsidP="008725A9">
      <w:pPr>
        <w:pStyle w:val="Heading1"/>
        <w:rPr>
          <w:sz w:val="24"/>
          <w:szCs w:val="24"/>
        </w:rPr>
      </w:pPr>
      <w:r w:rsidRPr="002F0BFE">
        <w:rPr>
          <w:sz w:val="24"/>
          <w:szCs w:val="24"/>
        </w:rPr>
        <w:t>Tyranny of Distance</w:t>
      </w:r>
      <w:r w:rsidR="0055449E" w:rsidRPr="002F0BFE">
        <w:rPr>
          <w:sz w:val="24"/>
          <w:szCs w:val="24"/>
        </w:rPr>
        <w:t xml:space="preserve"> - Background</w:t>
      </w:r>
    </w:p>
    <w:p w14:paraId="18F01D60" w14:textId="5D0C4F47" w:rsidR="000366B6" w:rsidRPr="002F0BFE" w:rsidRDefault="0057668F" w:rsidP="00A12251">
      <w:pPr>
        <w:spacing w:line="360" w:lineRule="auto"/>
        <w:jc w:val="both"/>
        <w:rPr>
          <w:rFonts w:cs="Arial"/>
          <w:b/>
          <w:sz w:val="24"/>
          <w:szCs w:val="24"/>
        </w:rPr>
      </w:pPr>
      <w:proofErr w:type="spellStart"/>
      <w:r w:rsidRPr="002F0BFE">
        <w:rPr>
          <w:rFonts w:cs="Arial"/>
          <w:sz w:val="24"/>
          <w:szCs w:val="24"/>
        </w:rPr>
        <w:t>Blainey's</w:t>
      </w:r>
      <w:proofErr w:type="spellEnd"/>
      <w:r w:rsidRPr="002F0BFE">
        <w:rPr>
          <w:rFonts w:cs="Arial"/>
          <w:sz w:val="24"/>
          <w:szCs w:val="24"/>
        </w:rPr>
        <w:t xml:space="preserve"> </w:t>
      </w:r>
      <w:r w:rsidR="00C144C5" w:rsidRPr="002F0BFE">
        <w:rPr>
          <w:rFonts w:cs="Arial"/>
          <w:sz w:val="24"/>
          <w:szCs w:val="24"/>
        </w:rPr>
        <w:t xml:space="preserve">book </w:t>
      </w:r>
      <w:r w:rsidRPr="002F0BFE">
        <w:rPr>
          <w:rFonts w:cs="Arial"/>
          <w:sz w:val="24"/>
          <w:szCs w:val="24"/>
        </w:rPr>
        <w:t>"Tyranny of Distance" recently turned fifty</w:t>
      </w:r>
      <w:r w:rsidR="007C57A9" w:rsidRPr="002F0BFE">
        <w:rPr>
          <w:rFonts w:cs="Arial"/>
          <w:sz w:val="24"/>
          <w:szCs w:val="24"/>
        </w:rPr>
        <w:t>,</w:t>
      </w:r>
      <w:r w:rsidRPr="002F0BFE">
        <w:rPr>
          <w:rFonts w:cs="Arial"/>
          <w:sz w:val="24"/>
          <w:szCs w:val="24"/>
        </w:rPr>
        <w:t xml:space="preserve"> and despite its age remains a vivid and unique insight into  Australia</w:t>
      </w:r>
      <w:r w:rsidR="00BC23F0" w:rsidRPr="002F0BFE">
        <w:rPr>
          <w:rFonts w:cs="Arial"/>
          <w:sz w:val="24"/>
          <w:szCs w:val="24"/>
        </w:rPr>
        <w:t>'s history</w:t>
      </w:r>
      <w:r w:rsidRPr="002F0BFE">
        <w:rPr>
          <w:rFonts w:cs="Arial"/>
          <w:sz w:val="24"/>
          <w:szCs w:val="24"/>
        </w:rPr>
        <w:t xml:space="preserve">, </w:t>
      </w:r>
      <w:r w:rsidR="003C31B0" w:rsidRPr="002F0BFE">
        <w:rPr>
          <w:rFonts w:cs="Arial"/>
          <w:sz w:val="24"/>
          <w:szCs w:val="24"/>
        </w:rPr>
        <w:t>mainly</w:t>
      </w:r>
      <w:r w:rsidRPr="002F0BFE">
        <w:rPr>
          <w:rFonts w:cs="Arial"/>
          <w:sz w:val="24"/>
          <w:szCs w:val="24"/>
        </w:rPr>
        <w:t xml:space="preserve"> due to its focus on distance, an often accepted but</w:t>
      </w:r>
      <w:r w:rsidR="00772C5B" w:rsidRPr="002F0BFE">
        <w:rPr>
          <w:rFonts w:cs="Arial"/>
          <w:sz w:val="24"/>
          <w:szCs w:val="24"/>
        </w:rPr>
        <w:t xml:space="preserve"> </w:t>
      </w:r>
      <w:r w:rsidR="007B6058" w:rsidRPr="002F0BFE">
        <w:rPr>
          <w:rFonts w:cs="Arial"/>
          <w:sz w:val="24"/>
          <w:szCs w:val="24"/>
        </w:rPr>
        <w:t>un</w:t>
      </w:r>
      <w:r w:rsidR="00772C5B" w:rsidRPr="002F0BFE">
        <w:rPr>
          <w:rFonts w:cs="Arial"/>
          <w:sz w:val="24"/>
          <w:szCs w:val="24"/>
        </w:rPr>
        <w:t xml:space="preserve">explored </w:t>
      </w:r>
      <w:r w:rsidRPr="002F0BFE">
        <w:rPr>
          <w:rFonts w:cs="Arial"/>
          <w:sz w:val="24"/>
          <w:szCs w:val="24"/>
        </w:rPr>
        <w:t>part of Australian life. Distance has shaped Australian history in the movement, communication</w:t>
      </w:r>
      <w:r w:rsidR="00140FD5" w:rsidRPr="002F0BFE">
        <w:rPr>
          <w:rFonts w:cs="Arial"/>
          <w:sz w:val="24"/>
          <w:szCs w:val="24"/>
        </w:rPr>
        <w:t>,</w:t>
      </w:r>
      <w:r w:rsidRPr="002F0BFE">
        <w:rPr>
          <w:rFonts w:cs="Arial"/>
          <w:sz w:val="24"/>
          <w:szCs w:val="24"/>
        </w:rPr>
        <w:t xml:space="preserve"> and economy of its peoples.</w:t>
      </w:r>
      <w:r w:rsidRPr="002F0BFE">
        <w:rPr>
          <w:rFonts w:cs="Arial"/>
          <w:b/>
          <w:sz w:val="24"/>
          <w:szCs w:val="24"/>
        </w:rPr>
        <w:t xml:space="preserve"> </w:t>
      </w:r>
    </w:p>
    <w:p w14:paraId="1F5D5F40" w14:textId="49E2150F" w:rsidR="000366B6" w:rsidRPr="002F0BFE" w:rsidRDefault="000366B6" w:rsidP="000366B6">
      <w:pPr>
        <w:spacing w:line="360" w:lineRule="auto"/>
        <w:jc w:val="both"/>
        <w:rPr>
          <w:rFonts w:cs="Arial"/>
          <w:sz w:val="24"/>
          <w:szCs w:val="24"/>
        </w:rPr>
      </w:pPr>
      <w:r w:rsidRPr="002F0BFE">
        <w:rPr>
          <w:rFonts w:cs="Arial"/>
          <w:sz w:val="24"/>
          <w:szCs w:val="24"/>
        </w:rPr>
        <w:t xml:space="preserve">For </w:t>
      </w:r>
      <w:proofErr w:type="spellStart"/>
      <w:r w:rsidRPr="002F0BFE">
        <w:rPr>
          <w:rFonts w:cs="Arial"/>
          <w:sz w:val="24"/>
          <w:szCs w:val="24"/>
        </w:rPr>
        <w:t>Blainey</w:t>
      </w:r>
      <w:proofErr w:type="spellEnd"/>
      <w:r w:rsidRPr="002F0BFE">
        <w:rPr>
          <w:rFonts w:cs="Arial"/>
          <w:sz w:val="24"/>
          <w:szCs w:val="24"/>
        </w:rPr>
        <w:t xml:space="preserve">, it was this remoteness combined with a lack of attractive trade goods that </w:t>
      </w:r>
      <w:r w:rsidR="007B6058" w:rsidRPr="002F0BFE">
        <w:rPr>
          <w:rFonts w:cs="Arial"/>
          <w:sz w:val="24"/>
          <w:szCs w:val="24"/>
        </w:rPr>
        <w:t xml:space="preserve">left </w:t>
      </w:r>
      <w:r w:rsidRPr="002F0BFE">
        <w:rPr>
          <w:rFonts w:cs="Arial"/>
          <w:sz w:val="24"/>
          <w:szCs w:val="24"/>
        </w:rPr>
        <w:t>the European Imperial Powers disinterested throughout much of the eighteenth century.</w:t>
      </w:r>
      <w:r w:rsidRPr="002F0BFE">
        <w:rPr>
          <w:rStyle w:val="FootnoteReference"/>
          <w:rFonts w:cs="Arial"/>
          <w:sz w:val="24"/>
          <w:szCs w:val="24"/>
        </w:rPr>
        <w:footnoteReference w:id="5"/>
      </w:r>
      <w:r w:rsidRPr="002F0BFE">
        <w:rPr>
          <w:rFonts w:cs="Arial"/>
          <w:sz w:val="24"/>
          <w:szCs w:val="24"/>
        </w:rPr>
        <w:t xml:space="preserve"> When the European crops failed, no British supplies </w:t>
      </w:r>
      <w:r w:rsidR="007B6058" w:rsidRPr="002F0BFE">
        <w:rPr>
          <w:rFonts w:cs="Arial"/>
          <w:sz w:val="24"/>
          <w:szCs w:val="24"/>
        </w:rPr>
        <w:t>were sent on the long and difficult journey</w:t>
      </w:r>
      <w:r w:rsidRPr="002F0BFE">
        <w:rPr>
          <w:rFonts w:cs="Arial"/>
          <w:sz w:val="24"/>
          <w:szCs w:val="24"/>
        </w:rPr>
        <w:t xml:space="preserve">. The settlers were forced to send ships on supply voyages to Cape </w:t>
      </w:r>
      <w:r w:rsidRPr="002F0BFE">
        <w:rPr>
          <w:rFonts w:cs="Arial"/>
          <w:sz w:val="24"/>
          <w:szCs w:val="24"/>
        </w:rPr>
        <w:lastRenderedPageBreak/>
        <w:t xml:space="preserve">Town, and other ports in South-East Asia, journeys </w:t>
      </w:r>
      <w:r w:rsidR="007B6058" w:rsidRPr="002F0BFE">
        <w:rPr>
          <w:rFonts w:cs="Arial"/>
          <w:sz w:val="24"/>
          <w:szCs w:val="24"/>
        </w:rPr>
        <w:t>that</w:t>
      </w:r>
      <w:r w:rsidRPr="002F0BFE">
        <w:rPr>
          <w:rFonts w:cs="Arial"/>
          <w:sz w:val="24"/>
          <w:szCs w:val="24"/>
        </w:rPr>
        <w:t xml:space="preserve"> took months and were often </w:t>
      </w:r>
      <w:r w:rsidR="00772C5B" w:rsidRPr="002F0BFE">
        <w:rPr>
          <w:rFonts w:cs="Arial"/>
          <w:sz w:val="24"/>
          <w:szCs w:val="24"/>
        </w:rPr>
        <w:t>beset</w:t>
      </w:r>
      <w:r w:rsidR="00C144C5" w:rsidRPr="002F0BFE">
        <w:rPr>
          <w:rFonts w:cs="Arial"/>
          <w:sz w:val="24"/>
          <w:szCs w:val="24"/>
        </w:rPr>
        <w:t xml:space="preserve"> by icebergs, wild seas</w:t>
      </w:r>
      <w:r w:rsidRPr="002F0BFE">
        <w:rPr>
          <w:rFonts w:cs="Arial"/>
          <w:sz w:val="24"/>
          <w:szCs w:val="24"/>
        </w:rPr>
        <w:t>, and scurvy.</w:t>
      </w:r>
      <w:r w:rsidRPr="002F0BFE">
        <w:rPr>
          <w:rStyle w:val="FootnoteReference"/>
          <w:rFonts w:cs="Arial"/>
          <w:sz w:val="24"/>
          <w:szCs w:val="24"/>
        </w:rPr>
        <w:footnoteReference w:id="6"/>
      </w:r>
    </w:p>
    <w:p w14:paraId="5572A822" w14:textId="6EDFF279" w:rsidR="00D813F7" w:rsidRPr="002F0BFE" w:rsidRDefault="008D5FBE" w:rsidP="00A12251">
      <w:pPr>
        <w:spacing w:line="360" w:lineRule="auto"/>
        <w:jc w:val="both"/>
        <w:rPr>
          <w:rFonts w:cs="Arial"/>
          <w:sz w:val="24"/>
          <w:szCs w:val="24"/>
        </w:rPr>
      </w:pPr>
      <w:r w:rsidRPr="002F0BFE">
        <w:rPr>
          <w:rFonts w:cs="Arial"/>
          <w:sz w:val="24"/>
          <w:szCs w:val="24"/>
        </w:rPr>
        <w:t>N</w:t>
      </w:r>
      <w:r w:rsidR="00D813F7" w:rsidRPr="002F0BFE">
        <w:rPr>
          <w:rFonts w:cs="Arial"/>
          <w:sz w:val="24"/>
          <w:szCs w:val="24"/>
        </w:rPr>
        <w:t xml:space="preserve">ot only is Australia distant from many regions of the world, its urban </w:t>
      </w:r>
      <w:r w:rsidR="007B6058" w:rsidRPr="002F0BFE">
        <w:rPr>
          <w:rFonts w:cs="Arial"/>
          <w:sz w:val="24"/>
          <w:szCs w:val="24"/>
        </w:rPr>
        <w:t>centres are also distant from one another</w:t>
      </w:r>
      <w:r w:rsidR="00D813F7" w:rsidRPr="002F0BFE">
        <w:rPr>
          <w:rFonts w:cs="Arial"/>
          <w:sz w:val="24"/>
          <w:szCs w:val="24"/>
        </w:rPr>
        <w:t xml:space="preserve">. </w:t>
      </w:r>
      <w:r w:rsidR="0070595A" w:rsidRPr="002F0BFE">
        <w:rPr>
          <w:rFonts w:cs="Arial"/>
          <w:sz w:val="24"/>
          <w:szCs w:val="24"/>
        </w:rPr>
        <w:t>Early settlers were confined to the East Coast by the wall of mountains and immense harsh inland that lay to their west.</w:t>
      </w:r>
      <w:r w:rsidR="0070595A" w:rsidRPr="002F0BFE">
        <w:rPr>
          <w:rStyle w:val="FootnoteReference"/>
          <w:rFonts w:cs="Arial"/>
          <w:sz w:val="24"/>
          <w:szCs w:val="24"/>
        </w:rPr>
        <w:footnoteReference w:id="7"/>
      </w:r>
      <w:r w:rsidR="0070595A" w:rsidRPr="002F0BFE">
        <w:rPr>
          <w:rFonts w:cs="Arial"/>
          <w:sz w:val="24"/>
          <w:szCs w:val="24"/>
        </w:rPr>
        <w:t xml:space="preserve"> The distance inland made domestic and international exporting of commodities such as wheat and wool a time-consuming and expensive task, rendering these Australian products uncompetitive until </w:t>
      </w:r>
      <w:r w:rsidR="007B6058" w:rsidRPr="002F0BFE">
        <w:rPr>
          <w:rFonts w:cs="Arial"/>
          <w:sz w:val="24"/>
          <w:szCs w:val="24"/>
        </w:rPr>
        <w:t xml:space="preserve">the </w:t>
      </w:r>
      <w:r w:rsidR="0070595A" w:rsidRPr="002F0BFE">
        <w:rPr>
          <w:rFonts w:cs="Arial"/>
          <w:sz w:val="24"/>
          <w:szCs w:val="24"/>
        </w:rPr>
        <w:t xml:space="preserve">railroad was </w:t>
      </w:r>
      <w:r w:rsidR="007B6058" w:rsidRPr="002F0BFE">
        <w:rPr>
          <w:rFonts w:cs="Arial"/>
          <w:sz w:val="24"/>
          <w:szCs w:val="24"/>
        </w:rPr>
        <w:t>built</w:t>
      </w:r>
      <w:r w:rsidR="0070595A" w:rsidRPr="002F0BFE">
        <w:rPr>
          <w:rFonts w:cs="Arial"/>
          <w:sz w:val="24"/>
          <w:szCs w:val="24"/>
        </w:rPr>
        <w:t>, itself an arduous task given the distance to cover.</w:t>
      </w:r>
      <w:r w:rsidR="0070595A" w:rsidRPr="002F0BFE">
        <w:rPr>
          <w:rStyle w:val="FootnoteReference"/>
          <w:rFonts w:cs="Arial"/>
          <w:sz w:val="24"/>
          <w:szCs w:val="24"/>
        </w:rPr>
        <w:footnoteReference w:id="8"/>
      </w:r>
      <w:r w:rsidR="0070595A" w:rsidRPr="002F0BFE">
        <w:rPr>
          <w:rFonts w:cs="Arial"/>
          <w:sz w:val="24"/>
          <w:szCs w:val="24"/>
        </w:rPr>
        <w:t xml:space="preserve"> </w:t>
      </w:r>
    </w:p>
    <w:p w14:paraId="5502E923" w14:textId="2065F96E" w:rsidR="00115405" w:rsidRPr="002F0BFE" w:rsidRDefault="0066223A" w:rsidP="00A12251">
      <w:pPr>
        <w:spacing w:line="360" w:lineRule="auto"/>
        <w:jc w:val="both"/>
        <w:rPr>
          <w:rFonts w:cs="Arial"/>
          <w:sz w:val="24"/>
          <w:szCs w:val="24"/>
        </w:rPr>
      </w:pPr>
      <w:r w:rsidRPr="002F0BFE">
        <w:rPr>
          <w:rFonts w:cs="Arial"/>
          <w:color w:val="000000"/>
          <w:sz w:val="24"/>
          <w:szCs w:val="24"/>
        </w:rPr>
        <w:t xml:space="preserve">To </w:t>
      </w:r>
      <w:r w:rsidR="0077051A" w:rsidRPr="002F0BFE">
        <w:rPr>
          <w:rFonts w:cs="Arial"/>
          <w:color w:val="000000"/>
          <w:sz w:val="24"/>
          <w:szCs w:val="24"/>
        </w:rPr>
        <w:t>return</w:t>
      </w:r>
      <w:r w:rsidRPr="002F0BFE">
        <w:rPr>
          <w:rFonts w:cs="Arial"/>
          <w:color w:val="000000"/>
          <w:sz w:val="24"/>
          <w:szCs w:val="24"/>
        </w:rPr>
        <w:t xml:space="preserve"> to arbitration, many of</w:t>
      </w:r>
      <w:r w:rsidRPr="002F0BFE">
        <w:rPr>
          <w:rFonts w:cs="Arial"/>
          <w:iCs/>
          <w:color w:val="000000"/>
          <w:sz w:val="24"/>
          <w:szCs w:val="24"/>
        </w:rPr>
        <w:t xml:space="preserve"> </w:t>
      </w:r>
      <w:r w:rsidR="0077051A" w:rsidRPr="002F0BFE">
        <w:rPr>
          <w:rFonts w:cs="Arial"/>
          <w:iCs/>
          <w:color w:val="000000"/>
          <w:sz w:val="24"/>
          <w:szCs w:val="24"/>
        </w:rPr>
        <w:t>you may be hearing</w:t>
      </w:r>
      <w:r w:rsidRPr="002F0BFE">
        <w:rPr>
          <w:rFonts w:cs="Arial"/>
          <w:iCs/>
          <w:color w:val="000000"/>
          <w:sz w:val="24"/>
          <w:szCs w:val="24"/>
        </w:rPr>
        <w:t xml:space="preserve"> this grim assessment of distance as confirmation of </w:t>
      </w:r>
      <w:r w:rsidR="0077051A" w:rsidRPr="002F0BFE">
        <w:rPr>
          <w:rFonts w:cs="Arial"/>
          <w:iCs/>
          <w:color w:val="000000"/>
          <w:sz w:val="24"/>
          <w:szCs w:val="24"/>
        </w:rPr>
        <w:t>an underlying</w:t>
      </w:r>
      <w:r w:rsidRPr="002F0BFE">
        <w:rPr>
          <w:rFonts w:cs="Arial"/>
          <w:iCs/>
          <w:color w:val="000000"/>
          <w:sz w:val="24"/>
          <w:szCs w:val="24"/>
        </w:rPr>
        <w:t xml:space="preserve"> concern that you all have with </w:t>
      </w:r>
      <w:r w:rsidR="0077051A" w:rsidRPr="002F0BFE">
        <w:rPr>
          <w:rFonts w:cs="Arial"/>
          <w:iCs/>
          <w:color w:val="000000"/>
          <w:sz w:val="24"/>
          <w:szCs w:val="24"/>
        </w:rPr>
        <w:t>Australia as a seat, being of course</w:t>
      </w:r>
      <w:r w:rsidRPr="002F0BFE">
        <w:rPr>
          <w:rFonts w:cs="Arial"/>
          <w:iCs/>
          <w:color w:val="000000"/>
          <w:sz w:val="24"/>
          <w:szCs w:val="24"/>
        </w:rPr>
        <w:t xml:space="preserve"> just how far away you think </w:t>
      </w:r>
      <w:r w:rsidR="0077051A" w:rsidRPr="002F0BFE">
        <w:rPr>
          <w:rFonts w:cs="Arial"/>
          <w:iCs/>
          <w:color w:val="000000"/>
          <w:sz w:val="24"/>
          <w:szCs w:val="24"/>
        </w:rPr>
        <w:t>we are from the rest of the world.</w:t>
      </w:r>
      <w:r w:rsidRPr="002F0BFE">
        <w:rPr>
          <w:rFonts w:cs="Arial"/>
          <w:iCs/>
          <w:color w:val="000000"/>
          <w:sz w:val="24"/>
          <w:szCs w:val="24"/>
        </w:rPr>
        <w:t xml:space="preserve"> </w:t>
      </w:r>
      <w:r w:rsidR="003440F1" w:rsidRPr="002F0BFE">
        <w:rPr>
          <w:rFonts w:cs="Arial"/>
          <w:iCs/>
          <w:color w:val="000000"/>
          <w:sz w:val="24"/>
          <w:szCs w:val="24"/>
        </w:rPr>
        <w:t xml:space="preserve">I respectfully disagree. </w:t>
      </w:r>
      <w:r w:rsidR="00FD6624" w:rsidRPr="002F0BFE">
        <w:rPr>
          <w:rFonts w:cs="Arial"/>
          <w:sz w:val="24"/>
          <w:szCs w:val="24"/>
        </w:rPr>
        <w:t>Travel is swifter.</w:t>
      </w:r>
      <w:r w:rsidR="00FD6624" w:rsidRPr="002F0BFE">
        <w:rPr>
          <w:rFonts w:cs="Arial"/>
          <w:iCs/>
          <w:color w:val="000000"/>
          <w:sz w:val="24"/>
          <w:szCs w:val="24"/>
        </w:rPr>
        <w:t xml:space="preserve"> Markets are </w:t>
      </w:r>
      <w:r w:rsidR="007B6058" w:rsidRPr="002F0BFE">
        <w:rPr>
          <w:rFonts w:cs="Arial"/>
          <w:iCs/>
          <w:color w:val="000000"/>
          <w:sz w:val="24"/>
          <w:szCs w:val="24"/>
        </w:rPr>
        <w:t xml:space="preserve">better </w:t>
      </w:r>
      <w:r w:rsidR="00FD6624" w:rsidRPr="002F0BFE">
        <w:rPr>
          <w:rFonts w:cs="Arial"/>
          <w:iCs/>
          <w:color w:val="000000"/>
          <w:sz w:val="24"/>
          <w:szCs w:val="24"/>
        </w:rPr>
        <w:t xml:space="preserve">connected. Communication is </w:t>
      </w:r>
      <w:r w:rsidR="00772C5B" w:rsidRPr="002F0BFE">
        <w:rPr>
          <w:rFonts w:cs="Arial"/>
          <w:iCs/>
          <w:color w:val="000000"/>
          <w:sz w:val="24"/>
          <w:szCs w:val="24"/>
        </w:rPr>
        <w:t>immediate</w:t>
      </w:r>
      <w:r w:rsidR="00FD6624" w:rsidRPr="002F0BFE">
        <w:rPr>
          <w:rFonts w:cs="Arial"/>
          <w:iCs/>
          <w:color w:val="000000"/>
          <w:sz w:val="24"/>
          <w:szCs w:val="24"/>
        </w:rPr>
        <w:t xml:space="preserve">, and </w:t>
      </w:r>
      <w:r w:rsidR="00FD6624" w:rsidRPr="002F0BFE">
        <w:rPr>
          <w:rFonts w:cs="Arial"/>
          <w:sz w:val="24"/>
          <w:szCs w:val="24"/>
        </w:rPr>
        <w:t>business between Sydney, London, New York, Beijing, Tokyo and many other commercial hubs has never been easier.</w:t>
      </w:r>
      <w:r w:rsidR="00FD6624" w:rsidRPr="002F0BFE">
        <w:rPr>
          <w:rStyle w:val="FootnoteReference"/>
          <w:rFonts w:cs="Arial"/>
          <w:sz w:val="24"/>
          <w:szCs w:val="24"/>
        </w:rPr>
        <w:footnoteReference w:id="9"/>
      </w:r>
      <w:r w:rsidR="00FD6624" w:rsidRPr="002F0BFE">
        <w:rPr>
          <w:rFonts w:cs="Arial"/>
          <w:iCs/>
          <w:color w:val="000000"/>
          <w:sz w:val="24"/>
          <w:szCs w:val="24"/>
        </w:rPr>
        <w:t xml:space="preserve"> </w:t>
      </w:r>
      <w:r w:rsidR="003440F1" w:rsidRPr="002F0BFE">
        <w:rPr>
          <w:rFonts w:cs="Arial"/>
          <w:iCs/>
          <w:color w:val="000000"/>
          <w:sz w:val="24"/>
          <w:szCs w:val="24"/>
        </w:rPr>
        <w:t>W</w:t>
      </w:r>
      <w:r w:rsidRPr="002F0BFE">
        <w:rPr>
          <w:rFonts w:cs="Arial"/>
          <w:iCs/>
          <w:color w:val="000000"/>
          <w:sz w:val="24"/>
          <w:szCs w:val="24"/>
        </w:rPr>
        <w:t xml:space="preserve">hat was tyrannical in the days of </w:t>
      </w:r>
      <w:r w:rsidR="00C144C5" w:rsidRPr="002F0BFE">
        <w:rPr>
          <w:rFonts w:cs="Arial"/>
          <w:iCs/>
          <w:color w:val="000000"/>
          <w:sz w:val="24"/>
          <w:szCs w:val="24"/>
        </w:rPr>
        <w:t>yore</w:t>
      </w:r>
      <w:r w:rsidR="00C818E9" w:rsidRPr="002F0BFE">
        <w:rPr>
          <w:rFonts w:cs="Arial"/>
          <w:iCs/>
          <w:color w:val="000000"/>
          <w:sz w:val="24"/>
          <w:szCs w:val="24"/>
        </w:rPr>
        <w:t xml:space="preserve"> has become</w:t>
      </w:r>
      <w:r w:rsidRPr="002F0BFE">
        <w:rPr>
          <w:rFonts w:cs="Arial"/>
          <w:iCs/>
          <w:color w:val="000000"/>
          <w:sz w:val="24"/>
          <w:szCs w:val="24"/>
        </w:rPr>
        <w:t xml:space="preserve"> a lot less so on a</w:t>
      </w:r>
      <w:r w:rsidR="003440F1" w:rsidRPr="002F0BFE">
        <w:rPr>
          <w:rFonts w:cs="Arial"/>
          <w:iCs/>
          <w:color w:val="000000"/>
          <w:sz w:val="24"/>
          <w:szCs w:val="24"/>
        </w:rPr>
        <w:t xml:space="preserve"> muscle-relaxer </w:t>
      </w:r>
      <w:r w:rsidR="00C272F6" w:rsidRPr="002F0BFE">
        <w:rPr>
          <w:rFonts w:cs="Arial"/>
          <w:iCs/>
          <w:color w:val="000000"/>
          <w:sz w:val="24"/>
          <w:szCs w:val="24"/>
        </w:rPr>
        <w:t>cushioned</w:t>
      </w:r>
      <w:r w:rsidRPr="002F0BFE">
        <w:rPr>
          <w:rFonts w:cs="Arial"/>
          <w:iCs/>
          <w:color w:val="000000"/>
          <w:sz w:val="24"/>
          <w:szCs w:val="24"/>
        </w:rPr>
        <w:t xml:space="preserve"> direct flight in business class on an A380</w:t>
      </w:r>
      <w:r w:rsidR="00772C5B" w:rsidRPr="002F0BFE">
        <w:rPr>
          <w:rFonts w:cs="Arial"/>
          <w:iCs/>
          <w:color w:val="000000"/>
          <w:sz w:val="24"/>
          <w:szCs w:val="24"/>
        </w:rPr>
        <w:t>; or as more often the case</w:t>
      </w:r>
      <w:r w:rsidR="003D7FE0" w:rsidRPr="002F0BFE">
        <w:rPr>
          <w:rFonts w:cs="Arial"/>
          <w:iCs/>
          <w:color w:val="000000"/>
          <w:sz w:val="24"/>
          <w:szCs w:val="24"/>
        </w:rPr>
        <w:t>,</w:t>
      </w:r>
      <w:r w:rsidR="00772C5B" w:rsidRPr="002F0BFE">
        <w:rPr>
          <w:rFonts w:cs="Arial"/>
          <w:iCs/>
          <w:color w:val="000000"/>
          <w:sz w:val="24"/>
          <w:szCs w:val="24"/>
        </w:rPr>
        <w:t xml:space="preserve"> by state of the art teleconferencing</w:t>
      </w:r>
      <w:r w:rsidRPr="002F0BFE">
        <w:rPr>
          <w:rFonts w:cs="Arial"/>
          <w:color w:val="000000"/>
          <w:sz w:val="24"/>
          <w:szCs w:val="24"/>
        </w:rPr>
        <w:t>.</w:t>
      </w:r>
      <w:r w:rsidR="00772C5B" w:rsidRPr="002F0BFE">
        <w:rPr>
          <w:rFonts w:cs="Arial"/>
          <w:color w:val="000000"/>
          <w:sz w:val="24"/>
          <w:szCs w:val="24"/>
        </w:rPr>
        <w:t xml:space="preserve"> </w:t>
      </w:r>
    </w:p>
    <w:p w14:paraId="6BB6D1C8" w14:textId="2D1022A9" w:rsidR="00576416" w:rsidRPr="002F0BFE" w:rsidRDefault="00576416" w:rsidP="008725A9">
      <w:pPr>
        <w:pStyle w:val="Heading1"/>
        <w:rPr>
          <w:sz w:val="24"/>
          <w:szCs w:val="24"/>
        </w:rPr>
      </w:pPr>
      <w:r w:rsidRPr="002F0BFE">
        <w:rPr>
          <w:sz w:val="24"/>
          <w:szCs w:val="24"/>
        </w:rPr>
        <w:t>Practical Benefits</w:t>
      </w:r>
    </w:p>
    <w:p w14:paraId="5F9ADF57" w14:textId="24A1F329" w:rsidR="002F48D5" w:rsidRPr="002F0BFE" w:rsidRDefault="00F2484D" w:rsidP="00A12251">
      <w:pPr>
        <w:spacing w:line="360" w:lineRule="auto"/>
        <w:jc w:val="both"/>
        <w:rPr>
          <w:rFonts w:cs="Arial"/>
          <w:sz w:val="24"/>
          <w:szCs w:val="24"/>
        </w:rPr>
      </w:pPr>
      <w:r w:rsidRPr="002F0BFE">
        <w:rPr>
          <w:rFonts w:cs="Arial"/>
          <w:sz w:val="24"/>
          <w:szCs w:val="24"/>
        </w:rPr>
        <w:t xml:space="preserve">Overcoming the challenges posed by distance </w:t>
      </w:r>
      <w:r w:rsidR="00C144C5" w:rsidRPr="002F0BFE">
        <w:rPr>
          <w:rFonts w:cs="Arial"/>
          <w:sz w:val="24"/>
          <w:szCs w:val="24"/>
        </w:rPr>
        <w:t>Australia has</w:t>
      </w:r>
      <w:r w:rsidR="003C31B0" w:rsidRPr="002F0BFE">
        <w:rPr>
          <w:rFonts w:cs="Arial"/>
          <w:sz w:val="24"/>
          <w:szCs w:val="24"/>
        </w:rPr>
        <w:t xml:space="preserve"> </w:t>
      </w:r>
      <w:r w:rsidR="00140B64" w:rsidRPr="002F0BFE">
        <w:rPr>
          <w:rFonts w:cs="Arial"/>
          <w:sz w:val="24"/>
          <w:szCs w:val="24"/>
        </w:rPr>
        <w:t>develop</w:t>
      </w:r>
      <w:r w:rsidR="00C144C5" w:rsidRPr="002F0BFE">
        <w:rPr>
          <w:rFonts w:cs="Arial"/>
          <w:sz w:val="24"/>
          <w:szCs w:val="24"/>
        </w:rPr>
        <w:t>ed</w:t>
      </w:r>
      <w:r w:rsidR="00140B64" w:rsidRPr="002F0BFE">
        <w:rPr>
          <w:rFonts w:cs="Arial"/>
          <w:sz w:val="24"/>
          <w:szCs w:val="24"/>
        </w:rPr>
        <w:t xml:space="preserve"> itself as</w:t>
      </w:r>
      <w:r w:rsidR="003C31B0" w:rsidRPr="002F0BFE">
        <w:rPr>
          <w:rFonts w:cs="Arial"/>
          <w:sz w:val="24"/>
          <w:szCs w:val="24"/>
        </w:rPr>
        <w:t xml:space="preserve"> </w:t>
      </w:r>
      <w:r w:rsidR="00140B64" w:rsidRPr="002F0BFE">
        <w:rPr>
          <w:rFonts w:cs="Arial"/>
          <w:sz w:val="24"/>
          <w:szCs w:val="24"/>
        </w:rPr>
        <w:t xml:space="preserve">an attractive </w:t>
      </w:r>
      <w:r w:rsidRPr="002F0BFE">
        <w:rPr>
          <w:rFonts w:cs="Arial"/>
          <w:sz w:val="24"/>
          <w:szCs w:val="24"/>
        </w:rPr>
        <w:t>seat</w:t>
      </w:r>
      <w:r w:rsidR="00140B64" w:rsidRPr="002F0BFE">
        <w:rPr>
          <w:rFonts w:cs="Arial"/>
          <w:sz w:val="24"/>
          <w:szCs w:val="24"/>
        </w:rPr>
        <w:t xml:space="preserve"> for international arbitration</w:t>
      </w:r>
      <w:r w:rsidRPr="002F0BFE">
        <w:rPr>
          <w:rFonts w:cs="Arial"/>
          <w:sz w:val="24"/>
          <w:szCs w:val="24"/>
        </w:rPr>
        <w:t xml:space="preserve"> with many practical benefits. </w:t>
      </w:r>
    </w:p>
    <w:p w14:paraId="5376E5D8" w14:textId="1E62D021" w:rsidR="004438B5" w:rsidRPr="002F0BFE" w:rsidRDefault="00F2484D" w:rsidP="00A12251">
      <w:pPr>
        <w:spacing w:line="360" w:lineRule="auto"/>
        <w:jc w:val="both"/>
        <w:rPr>
          <w:rFonts w:cs="Arial"/>
          <w:sz w:val="24"/>
          <w:szCs w:val="24"/>
        </w:rPr>
      </w:pPr>
      <w:r w:rsidRPr="002F0BFE">
        <w:rPr>
          <w:rFonts w:cs="Arial"/>
          <w:sz w:val="24"/>
          <w:szCs w:val="24"/>
        </w:rPr>
        <w:t>First, with the emergence of the economies of Asia, Australia is</w:t>
      </w:r>
      <w:r w:rsidR="007C3491" w:rsidRPr="002F0BFE">
        <w:rPr>
          <w:rFonts w:cs="Arial"/>
          <w:sz w:val="24"/>
          <w:szCs w:val="24"/>
        </w:rPr>
        <w:t xml:space="preserve"> </w:t>
      </w:r>
      <w:r w:rsidRPr="002F0BFE">
        <w:rPr>
          <w:rFonts w:cs="Arial"/>
          <w:sz w:val="24"/>
          <w:szCs w:val="24"/>
        </w:rPr>
        <w:t xml:space="preserve">geographically </w:t>
      </w:r>
      <w:r w:rsidR="00140B64" w:rsidRPr="002F0BFE">
        <w:rPr>
          <w:rFonts w:cs="Arial"/>
          <w:sz w:val="24"/>
          <w:szCs w:val="24"/>
        </w:rPr>
        <w:t xml:space="preserve">well </w:t>
      </w:r>
      <w:r w:rsidRPr="002F0BFE">
        <w:rPr>
          <w:rFonts w:cs="Arial"/>
          <w:sz w:val="24"/>
          <w:szCs w:val="24"/>
        </w:rPr>
        <w:t xml:space="preserve">positioned </w:t>
      </w:r>
      <w:r w:rsidR="00140B64" w:rsidRPr="002F0BFE">
        <w:rPr>
          <w:rFonts w:cs="Arial"/>
          <w:sz w:val="24"/>
          <w:szCs w:val="24"/>
        </w:rPr>
        <w:t>in the region as a</w:t>
      </w:r>
      <w:r w:rsidRPr="002F0BFE">
        <w:rPr>
          <w:rFonts w:cs="Arial"/>
          <w:sz w:val="24"/>
          <w:szCs w:val="24"/>
        </w:rPr>
        <w:t xml:space="preserve"> seat</w:t>
      </w:r>
      <w:r w:rsidR="002168B6" w:rsidRPr="002F0BFE">
        <w:rPr>
          <w:rFonts w:cs="Arial"/>
          <w:sz w:val="24"/>
          <w:szCs w:val="24"/>
        </w:rPr>
        <w:t xml:space="preserve">. </w:t>
      </w:r>
      <w:r w:rsidR="00BC23F0" w:rsidRPr="002F0BFE">
        <w:rPr>
          <w:rFonts w:cs="Arial"/>
          <w:sz w:val="24"/>
          <w:szCs w:val="24"/>
        </w:rPr>
        <w:t>I</w:t>
      </w:r>
      <w:r w:rsidR="0087368A" w:rsidRPr="002F0BFE">
        <w:rPr>
          <w:rFonts w:cs="Arial"/>
          <w:sz w:val="24"/>
          <w:szCs w:val="24"/>
        </w:rPr>
        <w:t>n 2016</w:t>
      </w:r>
      <w:r w:rsidR="005B0A85" w:rsidRPr="002F0BFE">
        <w:rPr>
          <w:rFonts w:cs="Arial"/>
          <w:sz w:val="24"/>
          <w:szCs w:val="24"/>
        </w:rPr>
        <w:t>,</w:t>
      </w:r>
      <w:r w:rsidR="0087368A" w:rsidRPr="002F0BFE">
        <w:rPr>
          <w:rFonts w:cs="Arial"/>
          <w:sz w:val="24"/>
          <w:szCs w:val="24"/>
        </w:rPr>
        <w:t xml:space="preserve"> parties from India, China and</w:t>
      </w:r>
      <w:r w:rsidR="000257D0" w:rsidRPr="002F0BFE">
        <w:rPr>
          <w:rFonts w:cs="Arial"/>
          <w:sz w:val="24"/>
          <w:szCs w:val="24"/>
        </w:rPr>
        <w:t xml:space="preserve"> </w:t>
      </w:r>
      <w:r w:rsidR="0087368A" w:rsidRPr="002F0BFE">
        <w:rPr>
          <w:rFonts w:cs="Arial"/>
          <w:sz w:val="24"/>
          <w:szCs w:val="24"/>
        </w:rPr>
        <w:t xml:space="preserve">Singapore featured </w:t>
      </w:r>
      <w:r w:rsidR="002F48D5" w:rsidRPr="002F0BFE">
        <w:rPr>
          <w:rFonts w:cs="Arial"/>
          <w:sz w:val="24"/>
          <w:szCs w:val="24"/>
        </w:rPr>
        <w:t>significantly</w:t>
      </w:r>
      <w:r w:rsidR="0087368A" w:rsidRPr="002F0BFE">
        <w:rPr>
          <w:rFonts w:cs="Arial"/>
          <w:sz w:val="24"/>
          <w:szCs w:val="24"/>
        </w:rPr>
        <w:t xml:space="preserve"> in the caseload of the prominent Asian arbitral institutions of SIAC and </w:t>
      </w:r>
      <w:r w:rsidR="007403D8" w:rsidRPr="002F0BFE">
        <w:rPr>
          <w:rFonts w:cs="Arial"/>
          <w:sz w:val="24"/>
          <w:szCs w:val="24"/>
        </w:rPr>
        <w:t>HKIAC</w:t>
      </w:r>
      <w:r w:rsidR="0087368A" w:rsidRPr="002F0BFE">
        <w:rPr>
          <w:rFonts w:cs="Arial"/>
          <w:sz w:val="24"/>
          <w:szCs w:val="24"/>
        </w:rPr>
        <w:t>,</w:t>
      </w:r>
      <w:r w:rsidR="0087368A" w:rsidRPr="002F0BFE">
        <w:rPr>
          <w:rStyle w:val="FootnoteReference"/>
          <w:rFonts w:cs="Arial"/>
          <w:sz w:val="24"/>
          <w:szCs w:val="24"/>
        </w:rPr>
        <w:footnoteReference w:id="10"/>
      </w:r>
      <w:r w:rsidR="0087368A" w:rsidRPr="002F0BFE">
        <w:rPr>
          <w:rFonts w:cs="Arial"/>
          <w:sz w:val="24"/>
          <w:szCs w:val="24"/>
        </w:rPr>
        <w:t xml:space="preserve"> while Asian countries were featured in over 10% of the LCIA's caseload.</w:t>
      </w:r>
      <w:r w:rsidR="0087368A" w:rsidRPr="002F0BFE">
        <w:rPr>
          <w:rStyle w:val="FootnoteReference"/>
          <w:rFonts w:cs="Arial"/>
          <w:sz w:val="24"/>
          <w:szCs w:val="24"/>
        </w:rPr>
        <w:footnoteReference w:id="11"/>
      </w:r>
      <w:r w:rsidR="007A2534" w:rsidRPr="002F0BFE">
        <w:rPr>
          <w:rFonts w:cs="Arial"/>
          <w:sz w:val="24"/>
          <w:szCs w:val="24"/>
        </w:rPr>
        <w:t xml:space="preserve"> </w:t>
      </w:r>
      <w:r w:rsidR="00583AE0" w:rsidRPr="002F0BFE">
        <w:rPr>
          <w:rFonts w:cs="Arial"/>
          <w:sz w:val="24"/>
          <w:szCs w:val="24"/>
        </w:rPr>
        <w:t xml:space="preserve">The ICC also recently </w:t>
      </w:r>
      <w:r w:rsidR="00C144C5" w:rsidRPr="002F0BFE">
        <w:rPr>
          <w:rFonts w:cs="Arial"/>
          <w:sz w:val="24"/>
          <w:szCs w:val="24"/>
        </w:rPr>
        <w:t>identified</w:t>
      </w:r>
      <w:r w:rsidR="00583AE0" w:rsidRPr="002F0BFE">
        <w:rPr>
          <w:rFonts w:cs="Arial"/>
          <w:sz w:val="24"/>
          <w:szCs w:val="24"/>
        </w:rPr>
        <w:t xml:space="preserve"> that in 2016 it </w:t>
      </w:r>
      <w:r w:rsidR="007A2534" w:rsidRPr="002F0BFE">
        <w:rPr>
          <w:rFonts w:cs="Arial"/>
          <w:sz w:val="24"/>
          <w:szCs w:val="24"/>
        </w:rPr>
        <w:t xml:space="preserve">saw a 22% increase in parties from South </w:t>
      </w:r>
      <w:r w:rsidR="007A2534" w:rsidRPr="002F0BFE">
        <w:rPr>
          <w:rFonts w:cs="Arial"/>
          <w:sz w:val="24"/>
          <w:szCs w:val="24"/>
        </w:rPr>
        <w:lastRenderedPageBreak/>
        <w:t>and East Asia.</w:t>
      </w:r>
      <w:r w:rsidR="007A2534" w:rsidRPr="002F0BFE">
        <w:rPr>
          <w:rStyle w:val="FootnoteReference"/>
          <w:rFonts w:cs="Arial"/>
          <w:sz w:val="24"/>
          <w:szCs w:val="24"/>
        </w:rPr>
        <w:footnoteReference w:id="12"/>
      </w:r>
      <w:r w:rsidR="0087368A" w:rsidRPr="002F0BFE">
        <w:rPr>
          <w:rFonts w:cs="Arial"/>
          <w:sz w:val="24"/>
          <w:szCs w:val="24"/>
        </w:rPr>
        <w:t xml:space="preserve"> The growth of the arbitration industry in </w:t>
      </w:r>
      <w:r w:rsidR="000257D0" w:rsidRPr="002F0BFE">
        <w:rPr>
          <w:rFonts w:cs="Arial"/>
          <w:sz w:val="24"/>
          <w:szCs w:val="24"/>
        </w:rPr>
        <w:t>Asia has gifted Australia with</w:t>
      </w:r>
      <w:r w:rsidR="002E4C47" w:rsidRPr="002F0BFE">
        <w:rPr>
          <w:rFonts w:cs="Arial"/>
          <w:sz w:val="24"/>
          <w:szCs w:val="24"/>
        </w:rPr>
        <w:t xml:space="preserve"> the advantage of</w:t>
      </w:r>
      <w:r w:rsidR="000257D0" w:rsidRPr="002F0BFE">
        <w:rPr>
          <w:rFonts w:cs="Arial"/>
          <w:sz w:val="24"/>
          <w:szCs w:val="24"/>
        </w:rPr>
        <w:t xml:space="preserve"> geographic proximity to </w:t>
      </w:r>
      <w:r w:rsidR="007B6058" w:rsidRPr="002F0BFE">
        <w:rPr>
          <w:rFonts w:cs="Arial"/>
          <w:sz w:val="24"/>
          <w:szCs w:val="24"/>
        </w:rPr>
        <w:t>many</w:t>
      </w:r>
      <w:r w:rsidR="004C1BFF" w:rsidRPr="002F0BFE">
        <w:rPr>
          <w:rFonts w:cs="Arial"/>
          <w:sz w:val="24"/>
          <w:szCs w:val="24"/>
        </w:rPr>
        <w:t xml:space="preserve"> </w:t>
      </w:r>
      <w:r w:rsidR="000257D0" w:rsidRPr="002F0BFE">
        <w:rPr>
          <w:rFonts w:cs="Arial"/>
          <w:sz w:val="24"/>
          <w:szCs w:val="24"/>
        </w:rPr>
        <w:t xml:space="preserve">parties and </w:t>
      </w:r>
      <w:r w:rsidR="007B6058" w:rsidRPr="002F0BFE">
        <w:rPr>
          <w:rFonts w:cs="Arial"/>
          <w:sz w:val="24"/>
          <w:szCs w:val="24"/>
        </w:rPr>
        <w:t xml:space="preserve">to </w:t>
      </w:r>
      <w:r w:rsidR="000257D0" w:rsidRPr="002F0BFE">
        <w:rPr>
          <w:rFonts w:cs="Arial"/>
          <w:sz w:val="24"/>
          <w:szCs w:val="24"/>
        </w:rPr>
        <w:t>flo</w:t>
      </w:r>
      <w:r w:rsidR="002E4C47" w:rsidRPr="002F0BFE">
        <w:rPr>
          <w:rFonts w:cs="Arial"/>
          <w:sz w:val="24"/>
          <w:szCs w:val="24"/>
        </w:rPr>
        <w:t xml:space="preserve">urishing arbitration practices. </w:t>
      </w:r>
    </w:p>
    <w:p w14:paraId="135C7620" w14:textId="15342DDD" w:rsidR="002168B6" w:rsidRPr="002F0BFE" w:rsidRDefault="002E4C47" w:rsidP="00A12251">
      <w:pPr>
        <w:spacing w:line="360" w:lineRule="auto"/>
        <w:jc w:val="both"/>
        <w:rPr>
          <w:rFonts w:cs="Arial"/>
          <w:sz w:val="24"/>
          <w:szCs w:val="24"/>
        </w:rPr>
      </w:pPr>
      <w:r w:rsidRPr="002F0BFE">
        <w:rPr>
          <w:rFonts w:cs="Arial"/>
          <w:sz w:val="24"/>
          <w:szCs w:val="24"/>
        </w:rPr>
        <w:t xml:space="preserve">While a party or legal representative in Hong Kong would </w:t>
      </w:r>
      <w:r w:rsidR="007B6058" w:rsidRPr="002F0BFE">
        <w:rPr>
          <w:rFonts w:cs="Arial"/>
          <w:sz w:val="24"/>
          <w:szCs w:val="24"/>
        </w:rPr>
        <w:t>face a</w:t>
      </w:r>
      <w:r w:rsidRPr="002F0BFE">
        <w:rPr>
          <w:rFonts w:cs="Arial"/>
          <w:sz w:val="24"/>
          <w:szCs w:val="24"/>
        </w:rPr>
        <w:t xml:space="preserve"> </w:t>
      </w:r>
      <w:r w:rsidR="002F48D5" w:rsidRPr="002F0BFE">
        <w:rPr>
          <w:rFonts w:cs="Arial"/>
          <w:sz w:val="24"/>
          <w:szCs w:val="24"/>
        </w:rPr>
        <w:t>seven</w:t>
      </w:r>
      <w:r w:rsidR="00DE6685" w:rsidRPr="002F0BFE">
        <w:rPr>
          <w:rFonts w:cs="Arial"/>
          <w:sz w:val="24"/>
          <w:szCs w:val="24"/>
        </w:rPr>
        <w:t>-</w:t>
      </w:r>
      <w:r w:rsidRPr="002F0BFE">
        <w:rPr>
          <w:rFonts w:cs="Arial"/>
          <w:sz w:val="24"/>
          <w:szCs w:val="24"/>
        </w:rPr>
        <w:t xml:space="preserve">hour time difference </w:t>
      </w:r>
      <w:r w:rsidR="007B6058" w:rsidRPr="002F0BFE">
        <w:rPr>
          <w:rFonts w:cs="Arial"/>
          <w:sz w:val="24"/>
          <w:szCs w:val="24"/>
        </w:rPr>
        <w:t>to reach</w:t>
      </w:r>
      <w:r w:rsidRPr="002F0BFE">
        <w:rPr>
          <w:rFonts w:cs="Arial"/>
          <w:sz w:val="24"/>
          <w:szCs w:val="24"/>
        </w:rPr>
        <w:t xml:space="preserve"> London, </w:t>
      </w:r>
      <w:r w:rsidR="007B6058" w:rsidRPr="002F0BFE">
        <w:rPr>
          <w:rFonts w:cs="Arial"/>
          <w:sz w:val="24"/>
          <w:szCs w:val="24"/>
        </w:rPr>
        <w:t>a hearing</w:t>
      </w:r>
      <w:r w:rsidRPr="002F0BFE">
        <w:rPr>
          <w:rFonts w:cs="Arial"/>
          <w:sz w:val="24"/>
          <w:szCs w:val="24"/>
        </w:rPr>
        <w:t xml:space="preserve"> in Sydney </w:t>
      </w:r>
      <w:r w:rsidR="007B6058" w:rsidRPr="002F0BFE">
        <w:rPr>
          <w:rFonts w:cs="Arial"/>
          <w:sz w:val="24"/>
          <w:szCs w:val="24"/>
        </w:rPr>
        <w:t xml:space="preserve">would be </w:t>
      </w:r>
      <w:r w:rsidRPr="002F0BFE">
        <w:rPr>
          <w:rFonts w:cs="Arial"/>
          <w:sz w:val="24"/>
          <w:szCs w:val="24"/>
        </w:rPr>
        <w:t xml:space="preserve">only </w:t>
      </w:r>
      <w:r w:rsidR="00772C5B" w:rsidRPr="002F0BFE">
        <w:rPr>
          <w:rFonts w:cs="Arial"/>
          <w:sz w:val="24"/>
          <w:szCs w:val="24"/>
        </w:rPr>
        <w:t xml:space="preserve">two or </w:t>
      </w:r>
      <w:r w:rsidR="002F48D5" w:rsidRPr="002F0BFE">
        <w:rPr>
          <w:rFonts w:cs="Arial"/>
          <w:sz w:val="24"/>
          <w:szCs w:val="24"/>
        </w:rPr>
        <w:t>three</w:t>
      </w:r>
      <w:r w:rsidRPr="002F0BFE">
        <w:rPr>
          <w:rFonts w:cs="Arial"/>
          <w:sz w:val="24"/>
          <w:szCs w:val="24"/>
        </w:rPr>
        <w:t xml:space="preserve"> hours ahead</w:t>
      </w:r>
      <w:r w:rsidR="00772C5B" w:rsidRPr="002F0BFE">
        <w:rPr>
          <w:rFonts w:cs="Arial"/>
          <w:sz w:val="24"/>
          <w:szCs w:val="24"/>
        </w:rPr>
        <w:t xml:space="preserve"> (and the same time zone in Perth)</w:t>
      </w:r>
      <w:r w:rsidRPr="002F0BFE">
        <w:rPr>
          <w:rFonts w:cs="Arial"/>
          <w:sz w:val="24"/>
          <w:szCs w:val="24"/>
        </w:rPr>
        <w:t>.</w:t>
      </w:r>
      <w:r w:rsidR="004C1BFF" w:rsidRPr="002F0BFE">
        <w:rPr>
          <w:rFonts w:cs="Arial"/>
          <w:sz w:val="24"/>
          <w:szCs w:val="24"/>
        </w:rPr>
        <w:t xml:space="preserve"> Similarly</w:t>
      </w:r>
      <w:r w:rsidR="004438B5" w:rsidRPr="002F0BFE">
        <w:rPr>
          <w:rFonts w:cs="Arial"/>
          <w:sz w:val="24"/>
          <w:szCs w:val="24"/>
        </w:rPr>
        <w:t>,</w:t>
      </w:r>
      <w:r w:rsidR="005D3369" w:rsidRPr="002F0BFE">
        <w:rPr>
          <w:rFonts w:cs="Arial"/>
          <w:sz w:val="24"/>
          <w:szCs w:val="24"/>
        </w:rPr>
        <w:t xml:space="preserve"> a</w:t>
      </w:r>
      <w:r w:rsidR="00772C5B" w:rsidRPr="002F0BFE">
        <w:rPr>
          <w:rFonts w:cs="Arial"/>
          <w:sz w:val="24"/>
          <w:szCs w:val="24"/>
        </w:rPr>
        <w:t>s many of our European friends</w:t>
      </w:r>
      <w:r w:rsidR="005D3369" w:rsidRPr="002F0BFE">
        <w:rPr>
          <w:rFonts w:cs="Arial"/>
          <w:sz w:val="24"/>
          <w:szCs w:val="24"/>
        </w:rPr>
        <w:t xml:space="preserve"> here today can attest</w:t>
      </w:r>
      <w:r w:rsidR="00CF662E" w:rsidRPr="002F0BFE">
        <w:rPr>
          <w:rFonts w:cs="Arial"/>
          <w:sz w:val="24"/>
          <w:szCs w:val="24"/>
        </w:rPr>
        <w:t>,</w:t>
      </w:r>
      <w:r w:rsidR="004C1BFF" w:rsidRPr="002F0BFE">
        <w:rPr>
          <w:rFonts w:cs="Arial"/>
          <w:sz w:val="24"/>
          <w:szCs w:val="24"/>
        </w:rPr>
        <w:t xml:space="preserve"> </w:t>
      </w:r>
      <w:r w:rsidR="007B6058" w:rsidRPr="002F0BFE">
        <w:rPr>
          <w:rFonts w:cs="Arial"/>
          <w:sz w:val="24"/>
          <w:szCs w:val="24"/>
        </w:rPr>
        <w:t xml:space="preserve">the flight from </w:t>
      </w:r>
      <w:r w:rsidR="004C1BFF" w:rsidRPr="002F0BFE">
        <w:rPr>
          <w:rFonts w:cs="Arial"/>
          <w:sz w:val="24"/>
          <w:szCs w:val="24"/>
        </w:rPr>
        <w:t xml:space="preserve">Singapore </w:t>
      </w:r>
      <w:r w:rsidR="007B6058" w:rsidRPr="002F0BFE">
        <w:rPr>
          <w:rFonts w:cs="Arial"/>
          <w:sz w:val="24"/>
          <w:szCs w:val="24"/>
        </w:rPr>
        <w:t xml:space="preserve">to </w:t>
      </w:r>
      <w:r w:rsidR="004C1BFF" w:rsidRPr="002F0BFE">
        <w:rPr>
          <w:rFonts w:cs="Arial"/>
          <w:sz w:val="24"/>
          <w:szCs w:val="24"/>
        </w:rPr>
        <w:t xml:space="preserve">Sydney is  </w:t>
      </w:r>
      <w:r w:rsidR="007B6058" w:rsidRPr="002F0BFE">
        <w:rPr>
          <w:rFonts w:cs="Arial"/>
          <w:sz w:val="24"/>
          <w:szCs w:val="24"/>
        </w:rPr>
        <w:t>shorter</w:t>
      </w:r>
      <w:r w:rsidR="004C1BFF" w:rsidRPr="002F0BFE">
        <w:rPr>
          <w:rFonts w:cs="Arial"/>
          <w:sz w:val="24"/>
          <w:szCs w:val="24"/>
        </w:rPr>
        <w:t xml:space="preserve"> than </w:t>
      </w:r>
      <w:r w:rsidR="007B6058" w:rsidRPr="002F0BFE">
        <w:rPr>
          <w:rFonts w:cs="Arial"/>
          <w:sz w:val="24"/>
          <w:szCs w:val="24"/>
        </w:rPr>
        <w:t>the flight from</w:t>
      </w:r>
      <w:r w:rsidR="004C1BFF" w:rsidRPr="002F0BFE">
        <w:rPr>
          <w:rFonts w:cs="Arial"/>
          <w:sz w:val="24"/>
          <w:szCs w:val="24"/>
        </w:rPr>
        <w:t xml:space="preserve"> Singapore </w:t>
      </w:r>
      <w:r w:rsidR="007B6058" w:rsidRPr="002F0BFE">
        <w:rPr>
          <w:rFonts w:cs="Arial"/>
          <w:sz w:val="24"/>
          <w:szCs w:val="24"/>
        </w:rPr>
        <w:t xml:space="preserve">to </w:t>
      </w:r>
      <w:r w:rsidR="004C1BFF" w:rsidRPr="002F0BFE">
        <w:rPr>
          <w:rFonts w:cs="Arial"/>
          <w:sz w:val="24"/>
          <w:szCs w:val="24"/>
        </w:rPr>
        <w:t>London</w:t>
      </w:r>
      <w:r w:rsidR="005D3369" w:rsidRPr="002F0BFE">
        <w:rPr>
          <w:rFonts w:cs="Arial"/>
          <w:sz w:val="24"/>
          <w:szCs w:val="24"/>
        </w:rPr>
        <w:t>.</w:t>
      </w:r>
      <w:r w:rsidR="002B2167" w:rsidRPr="002F0BFE">
        <w:rPr>
          <w:rFonts w:cs="Arial"/>
          <w:sz w:val="24"/>
          <w:szCs w:val="24"/>
        </w:rPr>
        <w:t xml:space="preserve"> </w:t>
      </w:r>
      <w:r w:rsidR="00813E22" w:rsidRPr="002F0BFE">
        <w:rPr>
          <w:rFonts w:cs="Arial"/>
          <w:sz w:val="24"/>
          <w:szCs w:val="24"/>
        </w:rPr>
        <w:t xml:space="preserve">Sydney is significantly closer to North America than Singapore. </w:t>
      </w:r>
      <w:r w:rsidR="002B2167" w:rsidRPr="002F0BFE">
        <w:rPr>
          <w:rFonts w:cs="Arial"/>
          <w:sz w:val="24"/>
          <w:szCs w:val="24"/>
        </w:rPr>
        <w:t>Sydney's Kingsford Smith Airport is also</w:t>
      </w:r>
      <w:r w:rsidR="007C3491" w:rsidRPr="002F0BFE">
        <w:rPr>
          <w:rFonts w:cs="Arial"/>
          <w:sz w:val="24"/>
          <w:szCs w:val="24"/>
        </w:rPr>
        <w:t xml:space="preserve"> convenient as </w:t>
      </w:r>
      <w:r w:rsidR="002B2167" w:rsidRPr="002F0BFE">
        <w:rPr>
          <w:rFonts w:cs="Arial"/>
          <w:sz w:val="24"/>
          <w:szCs w:val="24"/>
        </w:rPr>
        <w:t>an international hub serviced by thirty</w:t>
      </w:r>
      <w:r w:rsidR="00843E09" w:rsidRPr="002F0BFE">
        <w:rPr>
          <w:rFonts w:cs="Arial"/>
          <w:sz w:val="24"/>
          <w:szCs w:val="24"/>
        </w:rPr>
        <w:t>-</w:t>
      </w:r>
      <w:r w:rsidR="002B2167" w:rsidRPr="002F0BFE">
        <w:rPr>
          <w:rFonts w:cs="Arial"/>
          <w:sz w:val="24"/>
          <w:szCs w:val="24"/>
        </w:rPr>
        <w:t>eight international airline</w:t>
      </w:r>
      <w:r w:rsidR="007C3491" w:rsidRPr="002F0BFE">
        <w:rPr>
          <w:rFonts w:cs="Arial"/>
          <w:sz w:val="24"/>
          <w:szCs w:val="24"/>
        </w:rPr>
        <w:t>s</w:t>
      </w:r>
      <w:r w:rsidR="005829D1" w:rsidRPr="002F0BFE">
        <w:rPr>
          <w:rFonts w:cs="Arial"/>
          <w:sz w:val="24"/>
          <w:szCs w:val="24"/>
        </w:rPr>
        <w:t xml:space="preserve"> and allows for direct travel between Sydney and most Asian destinations.</w:t>
      </w:r>
      <w:r w:rsidR="007C3491" w:rsidRPr="002F0BFE">
        <w:rPr>
          <w:rStyle w:val="FootnoteReference"/>
          <w:rFonts w:cs="Arial"/>
          <w:sz w:val="24"/>
          <w:szCs w:val="24"/>
        </w:rPr>
        <w:footnoteReference w:id="13"/>
      </w:r>
      <w:r w:rsidR="007146B9" w:rsidRPr="002F0BFE">
        <w:rPr>
          <w:rFonts w:cs="Arial"/>
          <w:sz w:val="24"/>
          <w:szCs w:val="24"/>
        </w:rPr>
        <w:t xml:space="preserve"> The airport sees on average eight to ten flights a day to Singapore and London.</w:t>
      </w:r>
      <w:r w:rsidR="007146B9" w:rsidRPr="002F0BFE">
        <w:rPr>
          <w:rStyle w:val="FootnoteReference"/>
          <w:rFonts w:cs="Arial"/>
          <w:sz w:val="24"/>
          <w:szCs w:val="24"/>
        </w:rPr>
        <w:footnoteReference w:id="14"/>
      </w:r>
      <w:r w:rsidR="005829D1" w:rsidRPr="002F0BFE">
        <w:rPr>
          <w:rFonts w:cs="Arial"/>
          <w:sz w:val="24"/>
          <w:szCs w:val="24"/>
        </w:rPr>
        <w:t xml:space="preserve"> </w:t>
      </w:r>
      <w:r w:rsidR="007B6058" w:rsidRPr="002F0BFE">
        <w:rPr>
          <w:rFonts w:cs="Arial"/>
          <w:sz w:val="24"/>
          <w:szCs w:val="24"/>
        </w:rPr>
        <w:t>These</w:t>
      </w:r>
      <w:r w:rsidR="005D3369" w:rsidRPr="002F0BFE">
        <w:rPr>
          <w:rFonts w:cs="Arial"/>
          <w:sz w:val="24"/>
          <w:szCs w:val="24"/>
        </w:rPr>
        <w:t xml:space="preserve"> benefits </w:t>
      </w:r>
      <w:r w:rsidR="007B6058" w:rsidRPr="002F0BFE">
        <w:rPr>
          <w:rFonts w:cs="Arial"/>
          <w:sz w:val="24"/>
          <w:szCs w:val="24"/>
        </w:rPr>
        <w:t xml:space="preserve">are more than mere </w:t>
      </w:r>
      <w:r w:rsidR="005D3369" w:rsidRPr="002F0BFE">
        <w:rPr>
          <w:rFonts w:cs="Arial"/>
          <w:sz w:val="24"/>
          <w:szCs w:val="24"/>
        </w:rPr>
        <w:t>conveniences</w:t>
      </w:r>
      <w:r w:rsidR="007B6058" w:rsidRPr="002F0BFE">
        <w:rPr>
          <w:rFonts w:cs="Arial"/>
          <w:sz w:val="24"/>
          <w:szCs w:val="24"/>
        </w:rPr>
        <w:t xml:space="preserve"> – </w:t>
      </w:r>
      <w:r w:rsidR="005D3369" w:rsidRPr="002F0BFE">
        <w:rPr>
          <w:rFonts w:cs="Arial"/>
          <w:sz w:val="24"/>
          <w:szCs w:val="24"/>
        </w:rPr>
        <w:t xml:space="preserve">they can </w:t>
      </w:r>
      <w:r w:rsidR="00CF662E" w:rsidRPr="002F0BFE">
        <w:rPr>
          <w:rFonts w:cs="Arial"/>
          <w:sz w:val="24"/>
          <w:szCs w:val="24"/>
        </w:rPr>
        <w:t>enhance</w:t>
      </w:r>
      <w:r w:rsidR="005D3369" w:rsidRPr="002F0BFE">
        <w:rPr>
          <w:rFonts w:cs="Arial"/>
          <w:sz w:val="24"/>
          <w:szCs w:val="24"/>
        </w:rPr>
        <w:t xml:space="preserve"> the energy and enthusiasm of participants</w:t>
      </w:r>
      <w:r w:rsidR="00D52851" w:rsidRPr="002F0BFE">
        <w:rPr>
          <w:rFonts w:cs="Arial"/>
          <w:sz w:val="24"/>
          <w:szCs w:val="24"/>
        </w:rPr>
        <w:t xml:space="preserve"> of the arbitration</w:t>
      </w:r>
      <w:r w:rsidR="005D3369" w:rsidRPr="002F0BFE">
        <w:rPr>
          <w:rFonts w:cs="Arial"/>
          <w:sz w:val="24"/>
          <w:szCs w:val="24"/>
        </w:rPr>
        <w:t xml:space="preserve"> and</w:t>
      </w:r>
      <w:r w:rsidR="007C3491" w:rsidRPr="002F0BFE">
        <w:rPr>
          <w:rFonts w:cs="Arial"/>
          <w:sz w:val="24"/>
          <w:szCs w:val="24"/>
        </w:rPr>
        <w:t xml:space="preserve"> assist in</w:t>
      </w:r>
      <w:r w:rsidR="005D3369" w:rsidRPr="002F0BFE">
        <w:rPr>
          <w:rFonts w:cs="Arial"/>
          <w:sz w:val="24"/>
          <w:szCs w:val="24"/>
        </w:rPr>
        <w:t xml:space="preserve"> their coordination</w:t>
      </w:r>
      <w:r w:rsidR="00D52851" w:rsidRPr="002F0BFE">
        <w:rPr>
          <w:rFonts w:cs="Arial"/>
          <w:sz w:val="24"/>
          <w:szCs w:val="24"/>
        </w:rPr>
        <w:t>.</w:t>
      </w:r>
      <w:r w:rsidR="00772C5B" w:rsidRPr="002F0BFE">
        <w:rPr>
          <w:rFonts w:cs="Arial"/>
          <w:sz w:val="24"/>
          <w:szCs w:val="24"/>
        </w:rPr>
        <w:t xml:space="preserve"> </w:t>
      </w:r>
      <w:r w:rsidR="007B6058" w:rsidRPr="002F0BFE">
        <w:rPr>
          <w:rFonts w:cs="Arial"/>
          <w:sz w:val="24"/>
          <w:szCs w:val="24"/>
        </w:rPr>
        <w:t>C</w:t>
      </w:r>
      <w:r w:rsidR="00772C5B" w:rsidRPr="002F0BFE">
        <w:rPr>
          <w:rFonts w:cs="Arial"/>
          <w:sz w:val="24"/>
          <w:szCs w:val="24"/>
        </w:rPr>
        <w:t>omparable connections are available to</w:t>
      </w:r>
      <w:r w:rsidR="00B52257" w:rsidRPr="002F0BFE">
        <w:rPr>
          <w:rFonts w:cs="Arial"/>
          <w:sz w:val="24"/>
          <w:szCs w:val="24"/>
        </w:rPr>
        <w:t xml:space="preserve"> M</w:t>
      </w:r>
      <w:r w:rsidR="00772C5B" w:rsidRPr="002F0BFE">
        <w:rPr>
          <w:rFonts w:cs="Arial"/>
          <w:sz w:val="24"/>
          <w:szCs w:val="24"/>
        </w:rPr>
        <w:t>elbourne</w:t>
      </w:r>
      <w:r w:rsidR="00B52257" w:rsidRPr="002F0BFE">
        <w:rPr>
          <w:rFonts w:cs="Arial"/>
          <w:sz w:val="24"/>
          <w:szCs w:val="24"/>
        </w:rPr>
        <w:t xml:space="preserve"> and Perth (which is soon to see a nonstop service from London).</w:t>
      </w:r>
    </w:p>
    <w:p w14:paraId="5D2C5741" w14:textId="43F67BA9" w:rsidR="002B2167" w:rsidRPr="002F0BFE" w:rsidRDefault="00EA2E09" w:rsidP="00A12251">
      <w:pPr>
        <w:spacing w:line="360" w:lineRule="auto"/>
        <w:jc w:val="both"/>
        <w:rPr>
          <w:rFonts w:cs="Arial"/>
          <w:sz w:val="24"/>
          <w:szCs w:val="24"/>
        </w:rPr>
      </w:pPr>
      <w:r w:rsidRPr="002F0BFE">
        <w:rPr>
          <w:rFonts w:cs="Arial"/>
          <w:sz w:val="24"/>
          <w:szCs w:val="24"/>
        </w:rPr>
        <w:t>Australia's</w:t>
      </w:r>
      <w:r w:rsidR="002E59B4" w:rsidRPr="002F0BFE">
        <w:rPr>
          <w:rFonts w:cs="Arial"/>
          <w:sz w:val="24"/>
          <w:szCs w:val="24"/>
        </w:rPr>
        <w:t xml:space="preserve"> proximity</w:t>
      </w:r>
      <w:r w:rsidRPr="002F0BFE">
        <w:rPr>
          <w:rFonts w:cs="Arial"/>
          <w:sz w:val="24"/>
          <w:szCs w:val="24"/>
        </w:rPr>
        <w:t xml:space="preserve"> to the Asia-Pacific</w:t>
      </w:r>
      <w:r w:rsidR="002E59B4" w:rsidRPr="002F0BFE">
        <w:rPr>
          <w:rFonts w:cs="Arial"/>
          <w:sz w:val="24"/>
          <w:szCs w:val="24"/>
        </w:rPr>
        <w:t xml:space="preserve"> also provides parties access to a myriad of high quality arbitration practices across the region. Nearly all major international firms have expanded their arbitration practices into Asia and many </w:t>
      </w:r>
      <w:r w:rsidR="007B6058" w:rsidRPr="002F0BFE">
        <w:rPr>
          <w:rFonts w:cs="Arial"/>
          <w:sz w:val="24"/>
          <w:szCs w:val="24"/>
        </w:rPr>
        <w:t>have</w:t>
      </w:r>
      <w:r w:rsidR="002E59B4" w:rsidRPr="002F0BFE">
        <w:rPr>
          <w:rFonts w:cs="Arial"/>
          <w:sz w:val="24"/>
          <w:szCs w:val="24"/>
        </w:rPr>
        <w:t xml:space="preserve"> highly experienced and specialised teams operating in the region.</w:t>
      </w:r>
      <w:r w:rsidR="002E59B4" w:rsidRPr="002F0BFE">
        <w:rPr>
          <w:rStyle w:val="FootnoteReference"/>
          <w:rFonts w:cs="Arial"/>
          <w:sz w:val="24"/>
          <w:szCs w:val="24"/>
        </w:rPr>
        <w:footnoteReference w:id="15"/>
      </w:r>
      <w:r w:rsidR="002E59B4" w:rsidRPr="002F0BFE">
        <w:rPr>
          <w:rFonts w:cs="Arial"/>
          <w:sz w:val="24"/>
          <w:szCs w:val="24"/>
        </w:rPr>
        <w:t xml:space="preserve"> Australia has seen international law firms expand their regional arbitration practices</w:t>
      </w:r>
      <w:r w:rsidR="003D7FE0" w:rsidRPr="002F0BFE">
        <w:rPr>
          <w:rFonts w:cs="Arial"/>
          <w:sz w:val="24"/>
          <w:szCs w:val="24"/>
        </w:rPr>
        <w:t xml:space="preserve"> here</w:t>
      </w:r>
      <w:r w:rsidR="002E59B4" w:rsidRPr="002F0BFE">
        <w:rPr>
          <w:rFonts w:cs="Arial"/>
          <w:sz w:val="24"/>
          <w:szCs w:val="24"/>
        </w:rPr>
        <w:t>, bringing with them</w:t>
      </w:r>
      <w:r w:rsidRPr="002F0BFE">
        <w:rPr>
          <w:rFonts w:cs="Arial"/>
          <w:sz w:val="24"/>
          <w:szCs w:val="24"/>
        </w:rPr>
        <w:t xml:space="preserve"> the</w:t>
      </w:r>
      <w:r w:rsidR="002E59B4" w:rsidRPr="002F0BFE">
        <w:rPr>
          <w:rFonts w:cs="Arial"/>
          <w:sz w:val="24"/>
          <w:szCs w:val="24"/>
        </w:rPr>
        <w:t xml:space="preserve"> </w:t>
      </w:r>
      <w:r w:rsidR="002D56CA" w:rsidRPr="002F0BFE">
        <w:rPr>
          <w:rFonts w:cs="Arial"/>
          <w:sz w:val="24"/>
          <w:szCs w:val="24"/>
        </w:rPr>
        <w:t>experience and expertise accrued</w:t>
      </w:r>
      <w:r w:rsidR="002E59B4" w:rsidRPr="002F0BFE">
        <w:rPr>
          <w:rFonts w:cs="Arial"/>
          <w:sz w:val="24"/>
          <w:szCs w:val="24"/>
        </w:rPr>
        <w:t xml:space="preserve"> </w:t>
      </w:r>
      <w:r w:rsidR="002D56CA" w:rsidRPr="002F0BFE">
        <w:rPr>
          <w:rFonts w:cs="Arial"/>
          <w:sz w:val="24"/>
          <w:szCs w:val="24"/>
        </w:rPr>
        <w:t>from practice in many</w:t>
      </w:r>
      <w:r w:rsidR="002E59B4" w:rsidRPr="002F0BFE">
        <w:rPr>
          <w:rFonts w:cs="Arial"/>
          <w:sz w:val="24"/>
          <w:szCs w:val="24"/>
        </w:rPr>
        <w:t xml:space="preserve"> jurisdictions</w:t>
      </w:r>
      <w:r w:rsidR="003D7FE0" w:rsidRPr="002F0BFE">
        <w:rPr>
          <w:rFonts w:cs="Arial"/>
          <w:sz w:val="24"/>
          <w:szCs w:val="24"/>
        </w:rPr>
        <w:t xml:space="preserve"> (we are meeting in the Sydney office of one such firm)</w:t>
      </w:r>
      <w:r w:rsidR="002D56CA" w:rsidRPr="002F0BFE">
        <w:rPr>
          <w:rFonts w:cs="Arial"/>
          <w:sz w:val="24"/>
          <w:szCs w:val="24"/>
        </w:rPr>
        <w:t>.</w:t>
      </w:r>
      <w:r w:rsidR="002E59B4" w:rsidRPr="002F0BFE">
        <w:rPr>
          <w:rFonts w:cs="Arial"/>
          <w:sz w:val="24"/>
          <w:szCs w:val="24"/>
        </w:rPr>
        <w:t xml:space="preserve"> </w:t>
      </w:r>
      <w:r w:rsidR="002D56CA" w:rsidRPr="002F0BFE">
        <w:rPr>
          <w:rFonts w:cs="Arial"/>
          <w:sz w:val="24"/>
          <w:szCs w:val="24"/>
        </w:rPr>
        <w:t>M</w:t>
      </w:r>
      <w:r w:rsidR="002E59B4" w:rsidRPr="002F0BFE">
        <w:rPr>
          <w:rFonts w:cs="Arial"/>
          <w:sz w:val="24"/>
          <w:szCs w:val="24"/>
        </w:rPr>
        <w:t>any Australian law firms have</w:t>
      </w:r>
      <w:r w:rsidR="002D56CA" w:rsidRPr="002F0BFE">
        <w:rPr>
          <w:rFonts w:cs="Arial"/>
          <w:sz w:val="24"/>
          <w:szCs w:val="24"/>
        </w:rPr>
        <w:t xml:space="preserve"> also established arbitration practices and some have</w:t>
      </w:r>
      <w:r w:rsidR="002E59B4" w:rsidRPr="002F0BFE">
        <w:rPr>
          <w:rFonts w:cs="Arial"/>
          <w:sz w:val="24"/>
          <w:szCs w:val="24"/>
        </w:rPr>
        <w:t xml:space="preserve"> formed international partnerships,</w:t>
      </w:r>
      <w:r w:rsidR="002D56CA" w:rsidRPr="002F0BFE">
        <w:rPr>
          <w:rFonts w:cs="Arial"/>
          <w:sz w:val="24"/>
          <w:szCs w:val="24"/>
        </w:rPr>
        <w:t xml:space="preserve"> facilitating the growth and development of</w:t>
      </w:r>
      <w:r w:rsidR="002E59B4" w:rsidRPr="002F0BFE">
        <w:rPr>
          <w:rFonts w:cs="Arial"/>
          <w:sz w:val="24"/>
          <w:szCs w:val="24"/>
        </w:rPr>
        <w:t xml:space="preserve"> their </w:t>
      </w:r>
      <w:r w:rsidR="002D56CA" w:rsidRPr="002F0BFE">
        <w:rPr>
          <w:rFonts w:cs="Arial"/>
          <w:sz w:val="24"/>
          <w:szCs w:val="24"/>
        </w:rPr>
        <w:t>local teams.</w:t>
      </w:r>
      <w:r w:rsidR="002E59B4" w:rsidRPr="002F0BFE">
        <w:rPr>
          <w:rFonts w:cs="Arial"/>
          <w:sz w:val="24"/>
          <w:szCs w:val="24"/>
        </w:rPr>
        <w:t xml:space="preserve"> </w:t>
      </w:r>
      <w:r w:rsidR="002B2167" w:rsidRPr="002F0BFE">
        <w:rPr>
          <w:rFonts w:cs="Arial"/>
          <w:sz w:val="24"/>
          <w:szCs w:val="24"/>
        </w:rPr>
        <w:t>Australia</w:t>
      </w:r>
      <w:r w:rsidR="0017064E" w:rsidRPr="002F0BFE">
        <w:rPr>
          <w:rFonts w:cs="Arial"/>
          <w:sz w:val="24"/>
          <w:szCs w:val="24"/>
        </w:rPr>
        <w:t xml:space="preserve"> has also developed </w:t>
      </w:r>
      <w:r w:rsidR="00E3596F" w:rsidRPr="002F0BFE">
        <w:rPr>
          <w:rFonts w:cs="Arial"/>
          <w:sz w:val="24"/>
          <w:szCs w:val="24"/>
        </w:rPr>
        <w:t xml:space="preserve">excellent </w:t>
      </w:r>
      <w:r w:rsidR="0017064E" w:rsidRPr="002F0BFE">
        <w:rPr>
          <w:rFonts w:cs="Arial"/>
          <w:sz w:val="24"/>
          <w:szCs w:val="24"/>
        </w:rPr>
        <w:t xml:space="preserve">infrastructure to support international arbitration. </w:t>
      </w:r>
      <w:r w:rsidR="00813E22" w:rsidRPr="002F0BFE">
        <w:rPr>
          <w:rFonts w:cs="Arial"/>
          <w:sz w:val="24"/>
          <w:szCs w:val="24"/>
        </w:rPr>
        <w:t xml:space="preserve">There is a clear right for international firms to practice local domestic litigation, which cannot be said of Singapore or Hong Kong. </w:t>
      </w:r>
      <w:r w:rsidR="0017064E" w:rsidRPr="002F0BFE">
        <w:rPr>
          <w:rFonts w:cs="Arial"/>
          <w:sz w:val="24"/>
          <w:szCs w:val="24"/>
        </w:rPr>
        <w:t xml:space="preserve">The </w:t>
      </w:r>
      <w:r w:rsidR="0017064E" w:rsidRPr="002F0BFE">
        <w:rPr>
          <w:rFonts w:cs="Arial"/>
          <w:sz w:val="24"/>
          <w:szCs w:val="24"/>
        </w:rPr>
        <w:lastRenderedPageBreak/>
        <w:t>Australian Disputes Centre</w:t>
      </w:r>
      <w:r w:rsidR="00726841" w:rsidRPr="002F0BFE">
        <w:rPr>
          <w:rFonts w:cs="Arial"/>
          <w:sz w:val="24"/>
          <w:szCs w:val="24"/>
        </w:rPr>
        <w:t>, established in 2010,</w:t>
      </w:r>
      <w:r w:rsidR="0017064E" w:rsidRPr="002F0BFE">
        <w:rPr>
          <w:rFonts w:cs="Arial"/>
          <w:sz w:val="24"/>
          <w:szCs w:val="24"/>
        </w:rPr>
        <w:t xml:space="preserve"> is the centrepiece of </w:t>
      </w:r>
      <w:r w:rsidR="00E3596F" w:rsidRPr="002F0BFE">
        <w:rPr>
          <w:rFonts w:cs="Arial"/>
          <w:sz w:val="24"/>
          <w:szCs w:val="24"/>
        </w:rPr>
        <w:t>our local framework and provides</w:t>
      </w:r>
      <w:r w:rsidR="00726841" w:rsidRPr="002F0BFE">
        <w:rPr>
          <w:rFonts w:cs="Arial"/>
          <w:sz w:val="24"/>
          <w:szCs w:val="24"/>
        </w:rPr>
        <w:t xml:space="preserve"> </w:t>
      </w:r>
      <w:r w:rsidR="007B6058" w:rsidRPr="002F0BFE">
        <w:rPr>
          <w:rFonts w:cs="Arial"/>
          <w:sz w:val="24"/>
          <w:szCs w:val="24"/>
        </w:rPr>
        <w:t xml:space="preserve">world class </w:t>
      </w:r>
      <w:r w:rsidR="00726841" w:rsidRPr="002F0BFE">
        <w:rPr>
          <w:rFonts w:cs="Arial"/>
          <w:sz w:val="24"/>
          <w:szCs w:val="24"/>
        </w:rPr>
        <w:t>dispute resolution services. This custom designed venue for a</w:t>
      </w:r>
      <w:r w:rsidR="00813E22" w:rsidRPr="002F0BFE">
        <w:rPr>
          <w:rFonts w:cs="Arial"/>
          <w:sz w:val="24"/>
          <w:szCs w:val="24"/>
        </w:rPr>
        <w:t>rbitration is</w:t>
      </w:r>
      <w:r w:rsidR="00726841" w:rsidRPr="002F0BFE">
        <w:rPr>
          <w:rFonts w:cs="Arial"/>
          <w:sz w:val="24"/>
          <w:szCs w:val="24"/>
        </w:rPr>
        <w:t xml:space="preserve"> </w:t>
      </w:r>
      <w:r w:rsidR="0091672D" w:rsidRPr="002F0BFE">
        <w:rPr>
          <w:rFonts w:cs="Arial"/>
          <w:sz w:val="24"/>
          <w:szCs w:val="24"/>
        </w:rPr>
        <w:t>ten</w:t>
      </w:r>
      <w:r w:rsidR="00813E22" w:rsidRPr="002F0BFE">
        <w:rPr>
          <w:rFonts w:cs="Arial"/>
          <w:sz w:val="24"/>
          <w:szCs w:val="24"/>
        </w:rPr>
        <w:t xml:space="preserve"> minutes' walk from here,</w:t>
      </w:r>
      <w:r w:rsidR="00CE49A7" w:rsidRPr="002F0BFE">
        <w:rPr>
          <w:rFonts w:cs="Arial"/>
          <w:sz w:val="24"/>
          <w:szCs w:val="24"/>
        </w:rPr>
        <w:t xml:space="preserve"> in the heart of Sydney's CBD</w:t>
      </w:r>
      <w:r w:rsidR="002D1701" w:rsidRPr="002F0BFE">
        <w:rPr>
          <w:rFonts w:cs="Arial"/>
          <w:sz w:val="24"/>
          <w:szCs w:val="24"/>
        </w:rPr>
        <w:t>,</w:t>
      </w:r>
      <w:r w:rsidR="00CE49A7" w:rsidRPr="002F0BFE">
        <w:rPr>
          <w:rFonts w:cs="Arial"/>
          <w:sz w:val="24"/>
          <w:szCs w:val="24"/>
        </w:rPr>
        <w:t xml:space="preserve"> close to </w:t>
      </w:r>
      <w:proofErr w:type="spellStart"/>
      <w:r w:rsidR="00B52257" w:rsidRPr="002F0BFE">
        <w:rPr>
          <w:rFonts w:cs="Arial"/>
          <w:sz w:val="24"/>
          <w:szCs w:val="24"/>
        </w:rPr>
        <w:t>counsel</w:t>
      </w:r>
      <w:proofErr w:type="spellEnd"/>
      <w:r w:rsidR="00CE49A7" w:rsidRPr="002F0BFE">
        <w:rPr>
          <w:rFonts w:cs="Arial"/>
          <w:sz w:val="24"/>
          <w:szCs w:val="24"/>
        </w:rPr>
        <w:t xml:space="preserve"> chambers, </w:t>
      </w:r>
      <w:r w:rsidR="00B52257" w:rsidRPr="002F0BFE">
        <w:rPr>
          <w:rFonts w:cs="Arial"/>
          <w:sz w:val="24"/>
          <w:szCs w:val="24"/>
        </w:rPr>
        <w:t>most</w:t>
      </w:r>
      <w:r w:rsidR="00CE49A7" w:rsidRPr="002F0BFE">
        <w:rPr>
          <w:rFonts w:cs="Arial"/>
          <w:sz w:val="24"/>
          <w:szCs w:val="24"/>
        </w:rPr>
        <w:t xml:space="preserve"> of Australia's largest </w:t>
      </w:r>
      <w:r w:rsidR="00B52257" w:rsidRPr="002F0BFE">
        <w:rPr>
          <w:rFonts w:cs="Arial"/>
          <w:sz w:val="24"/>
          <w:szCs w:val="24"/>
        </w:rPr>
        <w:t xml:space="preserve">(and in many cases international) law firms, </w:t>
      </w:r>
      <w:r w:rsidR="00CE49A7" w:rsidRPr="002F0BFE">
        <w:rPr>
          <w:rFonts w:cs="Arial"/>
          <w:sz w:val="24"/>
          <w:szCs w:val="24"/>
        </w:rPr>
        <w:t xml:space="preserve">state </w:t>
      </w:r>
      <w:r w:rsidR="00B52257" w:rsidRPr="002F0BFE">
        <w:rPr>
          <w:rFonts w:cs="Arial"/>
          <w:sz w:val="24"/>
          <w:szCs w:val="24"/>
        </w:rPr>
        <w:t xml:space="preserve">and federal </w:t>
      </w:r>
      <w:r w:rsidR="00CE49A7" w:rsidRPr="002F0BFE">
        <w:rPr>
          <w:rFonts w:cs="Arial"/>
          <w:sz w:val="24"/>
          <w:szCs w:val="24"/>
        </w:rPr>
        <w:t xml:space="preserve">government </w:t>
      </w:r>
      <w:r w:rsidR="00B52257" w:rsidRPr="002F0BFE">
        <w:rPr>
          <w:rFonts w:cs="Arial"/>
          <w:sz w:val="24"/>
          <w:szCs w:val="24"/>
        </w:rPr>
        <w:t>offices, and first class</w:t>
      </w:r>
      <w:r w:rsidR="00CE49A7" w:rsidRPr="002F0BFE">
        <w:rPr>
          <w:rFonts w:cs="Arial"/>
          <w:sz w:val="24"/>
          <w:szCs w:val="24"/>
        </w:rPr>
        <w:t xml:space="preserve"> accommodation. It offers</w:t>
      </w:r>
      <w:r w:rsidR="00726841" w:rsidRPr="002F0BFE">
        <w:rPr>
          <w:rFonts w:cs="Arial"/>
          <w:sz w:val="24"/>
          <w:szCs w:val="24"/>
        </w:rPr>
        <w:t xml:space="preserve"> all the features of </w:t>
      </w:r>
      <w:r w:rsidR="007B6058" w:rsidRPr="002F0BFE">
        <w:rPr>
          <w:rFonts w:cs="Arial"/>
          <w:sz w:val="24"/>
          <w:szCs w:val="24"/>
        </w:rPr>
        <w:t xml:space="preserve">the best </w:t>
      </w:r>
      <w:r w:rsidR="00726841" w:rsidRPr="002F0BFE">
        <w:rPr>
          <w:rFonts w:cs="Arial"/>
          <w:sz w:val="24"/>
          <w:szCs w:val="24"/>
        </w:rPr>
        <w:t>dispute resolution centre</w:t>
      </w:r>
      <w:r w:rsidR="007B6058" w:rsidRPr="002F0BFE">
        <w:rPr>
          <w:rFonts w:cs="Arial"/>
          <w:sz w:val="24"/>
          <w:szCs w:val="24"/>
        </w:rPr>
        <w:t>s</w:t>
      </w:r>
      <w:r w:rsidR="00076419" w:rsidRPr="002F0BFE">
        <w:rPr>
          <w:rFonts w:cs="Arial"/>
          <w:sz w:val="24"/>
          <w:szCs w:val="24"/>
        </w:rPr>
        <w:t>, including</w:t>
      </w:r>
      <w:r w:rsidR="00B5249F" w:rsidRPr="002F0BFE">
        <w:rPr>
          <w:rFonts w:cs="Arial"/>
          <w:sz w:val="24"/>
          <w:szCs w:val="24"/>
        </w:rPr>
        <w:t xml:space="preserve"> conference rooms, breakout rooms</w:t>
      </w:r>
      <w:r w:rsidR="00843E09" w:rsidRPr="002F0BFE">
        <w:rPr>
          <w:rFonts w:cs="Arial"/>
          <w:sz w:val="24"/>
          <w:szCs w:val="24"/>
        </w:rPr>
        <w:t>,</w:t>
      </w:r>
      <w:r w:rsidR="00B5249F" w:rsidRPr="002F0BFE">
        <w:rPr>
          <w:rFonts w:cs="Arial"/>
          <w:sz w:val="24"/>
          <w:szCs w:val="24"/>
        </w:rPr>
        <w:t xml:space="preserve"> and</w:t>
      </w:r>
      <w:r w:rsidR="00076419" w:rsidRPr="002F0BFE">
        <w:rPr>
          <w:rFonts w:cs="Arial"/>
          <w:sz w:val="24"/>
          <w:szCs w:val="24"/>
        </w:rPr>
        <w:t xml:space="preserve"> </w:t>
      </w:r>
      <w:r w:rsidR="007B6058" w:rsidRPr="002F0BFE">
        <w:rPr>
          <w:rFonts w:cs="Arial"/>
          <w:sz w:val="24"/>
          <w:szCs w:val="24"/>
        </w:rPr>
        <w:t>excellent</w:t>
      </w:r>
      <w:r w:rsidR="00076419" w:rsidRPr="002F0BFE">
        <w:rPr>
          <w:rFonts w:cs="Arial"/>
          <w:sz w:val="24"/>
          <w:szCs w:val="24"/>
        </w:rPr>
        <w:t xml:space="preserve"> translation services</w:t>
      </w:r>
      <w:r w:rsidR="00CE49A7" w:rsidRPr="002F0BFE">
        <w:rPr>
          <w:rFonts w:cs="Arial"/>
          <w:sz w:val="24"/>
          <w:szCs w:val="24"/>
        </w:rPr>
        <w:t xml:space="preserve"> and can be customised to the </w:t>
      </w:r>
      <w:r w:rsidR="007B6058" w:rsidRPr="002F0BFE">
        <w:rPr>
          <w:rFonts w:cs="Arial"/>
          <w:sz w:val="24"/>
          <w:szCs w:val="24"/>
        </w:rPr>
        <w:t xml:space="preserve">needs of the </w:t>
      </w:r>
      <w:r w:rsidR="00CE49A7" w:rsidRPr="002F0BFE">
        <w:rPr>
          <w:rFonts w:cs="Arial"/>
          <w:sz w:val="24"/>
          <w:szCs w:val="24"/>
        </w:rPr>
        <w:t>arbitration</w:t>
      </w:r>
      <w:r w:rsidR="007B6058" w:rsidRPr="002F0BFE">
        <w:rPr>
          <w:rFonts w:cs="Arial"/>
          <w:sz w:val="24"/>
          <w:szCs w:val="24"/>
        </w:rPr>
        <w:t xml:space="preserve"> to maximize cost effectiveness for the parties</w:t>
      </w:r>
      <w:r w:rsidR="00CE49A7" w:rsidRPr="002F0BFE">
        <w:rPr>
          <w:rFonts w:cs="Arial"/>
          <w:sz w:val="24"/>
          <w:szCs w:val="24"/>
        </w:rPr>
        <w:t>.</w:t>
      </w:r>
    </w:p>
    <w:p w14:paraId="091C4A35" w14:textId="146E3AA6" w:rsidR="00CE49A7" w:rsidRPr="002F0BFE" w:rsidRDefault="00573A85" w:rsidP="00A12251">
      <w:pPr>
        <w:spacing w:line="360" w:lineRule="auto"/>
        <w:jc w:val="both"/>
        <w:rPr>
          <w:rFonts w:cs="Arial"/>
          <w:sz w:val="24"/>
          <w:szCs w:val="24"/>
        </w:rPr>
      </w:pPr>
      <w:r w:rsidRPr="002F0BFE">
        <w:rPr>
          <w:rFonts w:cs="Arial"/>
          <w:sz w:val="24"/>
          <w:szCs w:val="24"/>
        </w:rPr>
        <w:t>Australia</w:t>
      </w:r>
      <w:r w:rsidR="00CE49A7" w:rsidRPr="002F0BFE">
        <w:rPr>
          <w:rFonts w:cs="Arial"/>
          <w:sz w:val="24"/>
          <w:szCs w:val="24"/>
        </w:rPr>
        <w:t xml:space="preserve"> also has several cost advantages over other seats.</w:t>
      </w:r>
      <w:r w:rsidRPr="002F0BFE">
        <w:rPr>
          <w:rFonts w:cs="Arial"/>
          <w:sz w:val="24"/>
          <w:szCs w:val="24"/>
        </w:rPr>
        <w:t xml:space="preserve"> Indeed</w:t>
      </w:r>
      <w:r w:rsidR="007146B9" w:rsidRPr="002F0BFE">
        <w:rPr>
          <w:rFonts w:cs="Arial"/>
          <w:sz w:val="24"/>
          <w:szCs w:val="24"/>
        </w:rPr>
        <w:t>,</w:t>
      </w:r>
      <w:r w:rsidRPr="002F0BFE">
        <w:rPr>
          <w:rFonts w:cs="Arial"/>
          <w:sz w:val="24"/>
          <w:szCs w:val="24"/>
        </w:rPr>
        <w:t xml:space="preserve"> while it is common for Sydneysiders to lament the cost of living, Sydney outperforms both Hong Kong and Singapore</w:t>
      </w:r>
      <w:r w:rsidR="000767D2" w:rsidRPr="002F0BFE">
        <w:rPr>
          <w:rFonts w:cs="Arial"/>
          <w:sz w:val="24"/>
          <w:szCs w:val="24"/>
        </w:rPr>
        <w:t>,</w:t>
      </w:r>
      <w:r w:rsidRPr="002F0BFE">
        <w:rPr>
          <w:rFonts w:cs="Arial"/>
          <w:sz w:val="24"/>
          <w:szCs w:val="24"/>
        </w:rPr>
        <w:t xml:space="preserve"> which top the Cost of Living Index.</w:t>
      </w:r>
      <w:r w:rsidRPr="002F0BFE">
        <w:rPr>
          <w:rStyle w:val="FootnoteReference"/>
          <w:rFonts w:cs="Arial"/>
          <w:sz w:val="24"/>
          <w:szCs w:val="24"/>
        </w:rPr>
        <w:footnoteReference w:id="16"/>
      </w:r>
      <w:r w:rsidR="00CE49A7" w:rsidRPr="002F0BFE">
        <w:rPr>
          <w:rFonts w:cs="Arial"/>
          <w:sz w:val="24"/>
          <w:szCs w:val="24"/>
        </w:rPr>
        <w:t xml:space="preserve"> Sydney Arbitral Advantage estimates that the average rate of </w:t>
      </w:r>
      <w:r w:rsidR="002C3B1F" w:rsidRPr="002F0BFE">
        <w:rPr>
          <w:rFonts w:cs="Arial"/>
          <w:sz w:val="24"/>
          <w:szCs w:val="24"/>
        </w:rPr>
        <w:t xml:space="preserve">hotel </w:t>
      </w:r>
      <w:r w:rsidR="00CE49A7" w:rsidRPr="002F0BFE">
        <w:rPr>
          <w:rFonts w:cs="Arial"/>
          <w:sz w:val="24"/>
          <w:szCs w:val="24"/>
        </w:rPr>
        <w:t>accommodation in Sydney is</w:t>
      </w:r>
      <w:r w:rsidR="004438B5" w:rsidRPr="002F0BFE">
        <w:rPr>
          <w:rFonts w:cs="Arial"/>
          <w:sz w:val="24"/>
          <w:szCs w:val="24"/>
        </w:rPr>
        <w:t xml:space="preserve">, up to 200 dollars </w:t>
      </w:r>
      <w:r w:rsidR="007B6058" w:rsidRPr="002F0BFE">
        <w:rPr>
          <w:rFonts w:cs="Arial"/>
          <w:sz w:val="24"/>
          <w:szCs w:val="24"/>
        </w:rPr>
        <w:t xml:space="preserve">less </w:t>
      </w:r>
      <w:r w:rsidR="004438B5" w:rsidRPr="002F0BFE">
        <w:rPr>
          <w:rFonts w:cs="Arial"/>
          <w:sz w:val="24"/>
          <w:szCs w:val="24"/>
        </w:rPr>
        <w:t>a night</w:t>
      </w:r>
      <w:r w:rsidR="00CE49A7" w:rsidRPr="002F0BFE">
        <w:rPr>
          <w:rFonts w:cs="Arial"/>
          <w:sz w:val="24"/>
          <w:szCs w:val="24"/>
        </w:rPr>
        <w:t xml:space="preserve"> than other major hubs</w:t>
      </w:r>
      <w:r w:rsidR="007B6058" w:rsidRPr="002F0BFE">
        <w:rPr>
          <w:rFonts w:cs="Arial"/>
          <w:sz w:val="24"/>
          <w:szCs w:val="24"/>
        </w:rPr>
        <w:t>, including</w:t>
      </w:r>
      <w:r w:rsidR="00CE49A7" w:rsidRPr="002F0BFE">
        <w:rPr>
          <w:rFonts w:cs="Arial"/>
          <w:sz w:val="24"/>
          <w:szCs w:val="24"/>
        </w:rPr>
        <w:t xml:space="preserve"> </w:t>
      </w:r>
      <w:r w:rsidR="00B52257" w:rsidRPr="002F0BFE">
        <w:rPr>
          <w:rFonts w:cs="Arial"/>
          <w:sz w:val="24"/>
          <w:szCs w:val="24"/>
        </w:rPr>
        <w:t xml:space="preserve">London, </w:t>
      </w:r>
      <w:r w:rsidR="00CE49A7" w:rsidRPr="002F0BFE">
        <w:rPr>
          <w:rFonts w:cs="Arial"/>
          <w:sz w:val="24"/>
          <w:szCs w:val="24"/>
        </w:rPr>
        <w:t>New York, Hong Kong</w:t>
      </w:r>
      <w:r w:rsidR="00843E09" w:rsidRPr="002F0BFE">
        <w:rPr>
          <w:rFonts w:cs="Arial"/>
          <w:sz w:val="24"/>
          <w:szCs w:val="24"/>
        </w:rPr>
        <w:t>,</w:t>
      </w:r>
      <w:r w:rsidR="00CE49A7" w:rsidRPr="002F0BFE">
        <w:rPr>
          <w:rFonts w:cs="Arial"/>
          <w:sz w:val="24"/>
          <w:szCs w:val="24"/>
        </w:rPr>
        <w:t xml:space="preserve"> and Singapore.</w:t>
      </w:r>
      <w:r w:rsidR="00076419" w:rsidRPr="002F0BFE">
        <w:rPr>
          <w:rStyle w:val="FootnoteReference"/>
          <w:rFonts w:cs="Arial"/>
          <w:sz w:val="24"/>
          <w:szCs w:val="24"/>
        </w:rPr>
        <w:footnoteReference w:id="17"/>
      </w:r>
      <w:r w:rsidR="00CE49A7" w:rsidRPr="002F0BFE">
        <w:rPr>
          <w:rFonts w:cs="Arial"/>
          <w:sz w:val="24"/>
          <w:szCs w:val="24"/>
        </w:rPr>
        <w:t xml:space="preserve"> Further</w:t>
      </w:r>
      <w:r w:rsidR="0091672D" w:rsidRPr="002F0BFE">
        <w:rPr>
          <w:rFonts w:cs="Arial"/>
          <w:sz w:val="24"/>
          <w:szCs w:val="24"/>
        </w:rPr>
        <w:t>,</w:t>
      </w:r>
      <w:r w:rsidR="00CE49A7" w:rsidRPr="002F0BFE">
        <w:rPr>
          <w:rFonts w:cs="Arial"/>
          <w:sz w:val="24"/>
          <w:szCs w:val="24"/>
        </w:rPr>
        <w:t xml:space="preserve"> </w:t>
      </w:r>
      <w:r w:rsidR="00600F8D" w:rsidRPr="002F0BFE">
        <w:rPr>
          <w:rFonts w:cs="Arial"/>
          <w:sz w:val="24"/>
          <w:szCs w:val="24"/>
        </w:rPr>
        <w:t>in recent times</w:t>
      </w:r>
      <w:r w:rsidR="00F32210" w:rsidRPr="002F0BFE">
        <w:rPr>
          <w:rFonts w:cs="Arial"/>
          <w:sz w:val="24"/>
          <w:szCs w:val="24"/>
        </w:rPr>
        <w:t xml:space="preserve"> the Australian Dollar</w:t>
      </w:r>
      <w:r w:rsidR="00E3596F" w:rsidRPr="002F0BFE">
        <w:rPr>
          <w:rFonts w:cs="Arial"/>
          <w:sz w:val="24"/>
          <w:szCs w:val="24"/>
        </w:rPr>
        <w:t>’s depreciation in relative terms has improved</w:t>
      </w:r>
      <w:r w:rsidR="00600F8D" w:rsidRPr="002F0BFE">
        <w:rPr>
          <w:rFonts w:cs="Arial"/>
          <w:sz w:val="24"/>
          <w:szCs w:val="24"/>
        </w:rPr>
        <w:t xml:space="preserve"> Australia's cost efficiency</w:t>
      </w:r>
      <w:r w:rsidR="0091672D" w:rsidRPr="002F0BFE">
        <w:rPr>
          <w:rFonts w:cs="Arial"/>
          <w:sz w:val="24"/>
          <w:szCs w:val="24"/>
        </w:rPr>
        <w:t xml:space="preserve"> for</w:t>
      </w:r>
      <w:r w:rsidR="00E3596F" w:rsidRPr="002F0BFE">
        <w:rPr>
          <w:rFonts w:cs="Arial"/>
          <w:sz w:val="24"/>
          <w:szCs w:val="24"/>
        </w:rPr>
        <w:t xml:space="preserve"> overseas</w:t>
      </w:r>
      <w:r w:rsidR="0091672D" w:rsidRPr="002F0BFE">
        <w:rPr>
          <w:rFonts w:cs="Arial"/>
          <w:sz w:val="24"/>
          <w:szCs w:val="24"/>
        </w:rPr>
        <w:t xml:space="preserve"> travellers</w:t>
      </w:r>
      <w:r w:rsidR="00E3596F" w:rsidRPr="002F0BFE">
        <w:rPr>
          <w:rFonts w:cs="Arial"/>
          <w:sz w:val="24"/>
          <w:szCs w:val="24"/>
        </w:rPr>
        <w:t>, particularly those from Europe and the United States</w:t>
      </w:r>
      <w:r w:rsidR="0091672D" w:rsidRPr="002F0BFE">
        <w:rPr>
          <w:rFonts w:cs="Arial"/>
          <w:sz w:val="24"/>
          <w:szCs w:val="24"/>
        </w:rPr>
        <w:t>.</w:t>
      </w:r>
    </w:p>
    <w:p w14:paraId="1D5794D2" w14:textId="26F28686" w:rsidR="00F07D7A" w:rsidRPr="002F0BFE" w:rsidRDefault="00813E22" w:rsidP="00A12251">
      <w:pPr>
        <w:spacing w:line="360" w:lineRule="auto"/>
        <w:jc w:val="both"/>
        <w:rPr>
          <w:rFonts w:cs="Arial"/>
          <w:sz w:val="24"/>
          <w:szCs w:val="24"/>
        </w:rPr>
      </w:pPr>
      <w:r w:rsidRPr="002F0BFE">
        <w:rPr>
          <w:rFonts w:cs="Arial"/>
          <w:sz w:val="24"/>
          <w:szCs w:val="24"/>
        </w:rPr>
        <w:t>Australia is</w:t>
      </w:r>
      <w:r w:rsidR="00F07D7A" w:rsidRPr="002F0BFE">
        <w:rPr>
          <w:rFonts w:cs="Arial"/>
          <w:sz w:val="24"/>
          <w:szCs w:val="24"/>
        </w:rPr>
        <w:t xml:space="preserve"> </w:t>
      </w:r>
      <w:r w:rsidR="00B52257" w:rsidRPr="002F0BFE">
        <w:rPr>
          <w:rFonts w:cs="Arial"/>
          <w:sz w:val="24"/>
          <w:szCs w:val="24"/>
        </w:rPr>
        <w:t xml:space="preserve">a </w:t>
      </w:r>
      <w:r w:rsidR="00F07D7A" w:rsidRPr="002F0BFE">
        <w:rPr>
          <w:rFonts w:cs="Arial"/>
          <w:sz w:val="24"/>
          <w:szCs w:val="24"/>
        </w:rPr>
        <w:t xml:space="preserve">multicultural </w:t>
      </w:r>
      <w:r w:rsidR="002C750B" w:rsidRPr="002F0BFE">
        <w:rPr>
          <w:rFonts w:cs="Arial"/>
          <w:sz w:val="24"/>
          <w:szCs w:val="24"/>
        </w:rPr>
        <w:t xml:space="preserve">and diverse </w:t>
      </w:r>
      <w:r w:rsidR="00F07D7A" w:rsidRPr="002F0BFE">
        <w:rPr>
          <w:rFonts w:cs="Arial"/>
          <w:sz w:val="24"/>
          <w:szCs w:val="24"/>
        </w:rPr>
        <w:t>society.</w:t>
      </w:r>
      <w:r w:rsidR="002F1B8E" w:rsidRPr="002F0BFE">
        <w:rPr>
          <w:rFonts w:cs="Arial"/>
          <w:sz w:val="24"/>
          <w:szCs w:val="24"/>
        </w:rPr>
        <w:t xml:space="preserve"> </w:t>
      </w:r>
      <w:r w:rsidR="00B5249F" w:rsidRPr="002F0BFE">
        <w:rPr>
          <w:rFonts w:cs="Arial"/>
          <w:sz w:val="24"/>
          <w:szCs w:val="24"/>
        </w:rPr>
        <w:t>C</w:t>
      </w:r>
      <w:r w:rsidR="002F1B8E" w:rsidRPr="002F0BFE">
        <w:rPr>
          <w:rFonts w:cs="Arial"/>
          <w:sz w:val="24"/>
          <w:szCs w:val="24"/>
        </w:rPr>
        <w:t>ensus data</w:t>
      </w:r>
      <w:r w:rsidR="00541FF1" w:rsidRPr="002F0BFE">
        <w:rPr>
          <w:rFonts w:cs="Arial"/>
          <w:sz w:val="24"/>
          <w:szCs w:val="24"/>
        </w:rPr>
        <w:t xml:space="preserve"> from the Australian Government</w:t>
      </w:r>
      <w:r w:rsidR="002F1B8E" w:rsidRPr="002F0BFE">
        <w:rPr>
          <w:rFonts w:cs="Arial"/>
          <w:sz w:val="24"/>
          <w:szCs w:val="24"/>
        </w:rPr>
        <w:t xml:space="preserve"> indica</w:t>
      </w:r>
      <w:r w:rsidR="00B5249F" w:rsidRPr="002F0BFE">
        <w:rPr>
          <w:rFonts w:cs="Arial"/>
          <w:sz w:val="24"/>
          <w:szCs w:val="24"/>
        </w:rPr>
        <w:t>tes</w:t>
      </w:r>
      <w:r w:rsidR="007146B9" w:rsidRPr="002F0BFE">
        <w:rPr>
          <w:rFonts w:cs="Arial"/>
          <w:sz w:val="24"/>
          <w:szCs w:val="24"/>
        </w:rPr>
        <w:t xml:space="preserve"> that as of June 2016</w:t>
      </w:r>
      <w:r w:rsidR="000767D2" w:rsidRPr="002F0BFE">
        <w:rPr>
          <w:rFonts w:cs="Arial"/>
          <w:sz w:val="24"/>
          <w:szCs w:val="24"/>
        </w:rPr>
        <w:t>,</w:t>
      </w:r>
      <w:r w:rsidR="007146B9" w:rsidRPr="002F0BFE">
        <w:rPr>
          <w:rFonts w:cs="Arial"/>
          <w:sz w:val="24"/>
          <w:szCs w:val="24"/>
        </w:rPr>
        <w:t xml:space="preserve"> 28% of Australia's population was born overseas.</w:t>
      </w:r>
      <w:r w:rsidR="007146B9" w:rsidRPr="002F0BFE">
        <w:rPr>
          <w:rStyle w:val="FootnoteReference"/>
          <w:rFonts w:cs="Arial"/>
          <w:sz w:val="24"/>
          <w:szCs w:val="24"/>
        </w:rPr>
        <w:footnoteReference w:id="18"/>
      </w:r>
      <w:r w:rsidR="007146B9" w:rsidRPr="002F0BFE">
        <w:rPr>
          <w:rFonts w:cs="Arial"/>
          <w:sz w:val="24"/>
          <w:szCs w:val="24"/>
        </w:rPr>
        <w:t xml:space="preserve"> </w:t>
      </w:r>
      <w:r w:rsidR="004438B5" w:rsidRPr="002F0BFE">
        <w:rPr>
          <w:rFonts w:cs="Arial"/>
          <w:sz w:val="24"/>
          <w:szCs w:val="24"/>
        </w:rPr>
        <w:t>Thus</w:t>
      </w:r>
      <w:r w:rsidR="00843E09" w:rsidRPr="002F0BFE">
        <w:rPr>
          <w:rFonts w:cs="Arial"/>
          <w:sz w:val="24"/>
          <w:szCs w:val="24"/>
        </w:rPr>
        <w:t>,</w:t>
      </w:r>
      <w:r w:rsidR="00A2412F" w:rsidRPr="002F0BFE">
        <w:rPr>
          <w:rFonts w:cs="Arial"/>
          <w:sz w:val="24"/>
          <w:szCs w:val="24"/>
        </w:rPr>
        <w:t xml:space="preserve"> in turn</w:t>
      </w:r>
      <w:r w:rsidR="004438B5" w:rsidRPr="002F0BFE">
        <w:rPr>
          <w:rFonts w:cs="Arial"/>
          <w:sz w:val="24"/>
          <w:szCs w:val="24"/>
        </w:rPr>
        <w:t>, Australia has developed a focus on diversity in arbitration</w:t>
      </w:r>
      <w:r w:rsidR="007B6058" w:rsidRPr="002F0BFE">
        <w:rPr>
          <w:rFonts w:cs="Arial"/>
          <w:sz w:val="24"/>
          <w:szCs w:val="24"/>
        </w:rPr>
        <w:t>, which is so important today</w:t>
      </w:r>
      <w:r w:rsidR="00A2412F" w:rsidRPr="002F0BFE">
        <w:rPr>
          <w:rFonts w:cs="Arial"/>
          <w:sz w:val="24"/>
          <w:szCs w:val="24"/>
        </w:rPr>
        <w:t>.</w:t>
      </w:r>
      <w:r w:rsidR="002C750B" w:rsidRPr="002F0BFE">
        <w:rPr>
          <w:rStyle w:val="FootnoteReference"/>
          <w:rFonts w:cs="Arial"/>
          <w:sz w:val="24"/>
          <w:szCs w:val="24"/>
        </w:rPr>
        <w:t xml:space="preserve"> </w:t>
      </w:r>
      <w:r w:rsidR="002C750B" w:rsidRPr="002F0BFE">
        <w:rPr>
          <w:rStyle w:val="FootnoteReference"/>
          <w:rFonts w:cs="Arial"/>
          <w:sz w:val="24"/>
          <w:szCs w:val="24"/>
        </w:rPr>
        <w:footnoteReference w:id="19"/>
      </w:r>
      <w:r w:rsidR="002C750B" w:rsidRPr="002F0BFE">
        <w:rPr>
          <w:rFonts w:cs="Arial"/>
          <w:sz w:val="24"/>
          <w:szCs w:val="24"/>
        </w:rPr>
        <w:t xml:space="preserve"> </w:t>
      </w:r>
      <w:r w:rsidR="007B6058" w:rsidRPr="002F0BFE">
        <w:rPr>
          <w:rFonts w:cs="Arial"/>
          <w:sz w:val="24"/>
          <w:szCs w:val="24"/>
        </w:rPr>
        <w:t xml:space="preserve">In terms of gender diversity, </w:t>
      </w:r>
      <w:r w:rsidR="0051455A" w:rsidRPr="002F0BFE">
        <w:rPr>
          <w:rFonts w:cs="Arial"/>
          <w:sz w:val="24"/>
          <w:szCs w:val="24"/>
        </w:rPr>
        <w:t xml:space="preserve">ACICA, The Australian Centre for International Commercial Arbitration has </w:t>
      </w:r>
      <w:r w:rsidR="00AC234B" w:rsidRPr="002F0BFE">
        <w:rPr>
          <w:rFonts w:cs="Arial"/>
          <w:sz w:val="24"/>
          <w:szCs w:val="24"/>
        </w:rPr>
        <w:t>demonstrated real leadership</w:t>
      </w:r>
      <w:r w:rsidR="0051455A" w:rsidRPr="002F0BFE">
        <w:rPr>
          <w:rFonts w:cs="Arial"/>
          <w:sz w:val="24"/>
          <w:szCs w:val="24"/>
        </w:rPr>
        <w:t>. Between 2011 and 2016 a quarter of ACICA's appointments have been of female arbitrators,</w:t>
      </w:r>
      <w:r w:rsidR="0051455A" w:rsidRPr="002F0BFE">
        <w:rPr>
          <w:rStyle w:val="FootnoteReference"/>
          <w:rFonts w:cs="Arial"/>
          <w:sz w:val="24"/>
          <w:szCs w:val="24"/>
        </w:rPr>
        <w:footnoteReference w:id="20"/>
      </w:r>
      <w:r w:rsidR="0051455A" w:rsidRPr="002F0BFE">
        <w:rPr>
          <w:rFonts w:cs="Arial"/>
          <w:sz w:val="24"/>
          <w:szCs w:val="24"/>
        </w:rPr>
        <w:t xml:space="preserve"> and in 2016 </w:t>
      </w:r>
      <w:r w:rsidR="00B52257" w:rsidRPr="002F0BFE">
        <w:rPr>
          <w:rFonts w:cs="Arial"/>
          <w:sz w:val="24"/>
          <w:szCs w:val="24"/>
        </w:rPr>
        <w:t>its</w:t>
      </w:r>
      <w:r w:rsidR="0051455A" w:rsidRPr="002F0BFE">
        <w:rPr>
          <w:rFonts w:cs="Arial"/>
          <w:sz w:val="24"/>
          <w:szCs w:val="24"/>
        </w:rPr>
        <w:t xml:space="preserve"> president signed the Equal Representation in Arbitration </w:t>
      </w:r>
      <w:r w:rsidR="0051455A" w:rsidRPr="002F0BFE">
        <w:rPr>
          <w:rFonts w:cs="Arial"/>
          <w:sz w:val="24"/>
          <w:szCs w:val="24"/>
        </w:rPr>
        <w:lastRenderedPageBreak/>
        <w:t>Pledge committing to encouraging greater female representation and diversity in arbitration.</w:t>
      </w:r>
      <w:r w:rsidR="0051455A" w:rsidRPr="002F0BFE">
        <w:rPr>
          <w:rStyle w:val="FootnoteReference"/>
          <w:rFonts w:cs="Arial"/>
          <w:sz w:val="24"/>
          <w:szCs w:val="24"/>
        </w:rPr>
        <w:footnoteReference w:id="21"/>
      </w:r>
      <w:r w:rsidR="0051455A" w:rsidRPr="002F0BFE">
        <w:rPr>
          <w:rFonts w:cs="Arial"/>
          <w:sz w:val="24"/>
          <w:szCs w:val="24"/>
        </w:rPr>
        <w:t xml:space="preserve"> </w:t>
      </w:r>
    </w:p>
    <w:p w14:paraId="43F4ED4B" w14:textId="1CC25842" w:rsidR="00216C00" w:rsidRPr="002F0BFE" w:rsidRDefault="00AC234B" w:rsidP="00A12251">
      <w:pPr>
        <w:spacing w:line="360" w:lineRule="auto"/>
        <w:jc w:val="both"/>
        <w:rPr>
          <w:rFonts w:cs="Arial"/>
          <w:sz w:val="24"/>
          <w:szCs w:val="24"/>
        </w:rPr>
      </w:pPr>
      <w:r w:rsidRPr="002F0BFE">
        <w:rPr>
          <w:rFonts w:cs="Arial"/>
          <w:sz w:val="24"/>
          <w:szCs w:val="24"/>
        </w:rPr>
        <w:t>Also of real</w:t>
      </w:r>
      <w:r w:rsidR="001721A7" w:rsidRPr="002F0BFE">
        <w:rPr>
          <w:rFonts w:cs="Arial"/>
          <w:sz w:val="24"/>
          <w:szCs w:val="24"/>
        </w:rPr>
        <w:t xml:space="preserve"> practical si</w:t>
      </w:r>
      <w:r w:rsidR="00813E22" w:rsidRPr="002F0BFE">
        <w:rPr>
          <w:rFonts w:cs="Arial"/>
          <w:sz w:val="24"/>
          <w:szCs w:val="24"/>
        </w:rPr>
        <w:t>gnificance is Australia’s lead</w:t>
      </w:r>
      <w:r w:rsidRPr="002F0BFE">
        <w:rPr>
          <w:rFonts w:cs="Arial"/>
          <w:sz w:val="24"/>
          <w:szCs w:val="24"/>
        </w:rPr>
        <w:t>ership in</w:t>
      </w:r>
      <w:r w:rsidR="001721A7" w:rsidRPr="002F0BFE">
        <w:rPr>
          <w:rFonts w:cs="Arial"/>
          <w:sz w:val="24"/>
          <w:szCs w:val="24"/>
        </w:rPr>
        <w:t xml:space="preserve"> technology</w:t>
      </w:r>
      <w:r w:rsidR="00F264E1" w:rsidRPr="002F0BFE">
        <w:rPr>
          <w:rFonts w:cs="Arial"/>
          <w:sz w:val="24"/>
          <w:szCs w:val="24"/>
        </w:rPr>
        <w:t xml:space="preserve">. The Federal Court of Australia </w:t>
      </w:r>
      <w:r w:rsidR="00216C00" w:rsidRPr="002F0BFE">
        <w:rPr>
          <w:rFonts w:cs="Arial"/>
          <w:sz w:val="24"/>
          <w:szCs w:val="24"/>
        </w:rPr>
        <w:t xml:space="preserve">in a recent Central Practice Note has provided for the use </w:t>
      </w:r>
      <w:r w:rsidR="000767D2" w:rsidRPr="002F0BFE">
        <w:rPr>
          <w:rFonts w:cs="Arial"/>
          <w:sz w:val="24"/>
          <w:szCs w:val="24"/>
        </w:rPr>
        <w:t xml:space="preserve">of </w:t>
      </w:r>
      <w:r w:rsidR="00216C00" w:rsidRPr="002F0BFE">
        <w:rPr>
          <w:rFonts w:cs="Arial"/>
          <w:sz w:val="24"/>
          <w:szCs w:val="24"/>
        </w:rPr>
        <w:t>e</w:t>
      </w:r>
      <w:r w:rsidR="006F18A3" w:rsidRPr="002F0BFE">
        <w:rPr>
          <w:rFonts w:cs="Arial"/>
          <w:sz w:val="24"/>
          <w:szCs w:val="24"/>
        </w:rPr>
        <w:t>lectronic filing, hearings and virtual courtrooms</w:t>
      </w:r>
      <w:r w:rsidR="00216C00" w:rsidRPr="002F0BFE">
        <w:rPr>
          <w:rFonts w:cs="Arial"/>
          <w:sz w:val="24"/>
          <w:szCs w:val="24"/>
        </w:rPr>
        <w:t xml:space="preserve"> for </w:t>
      </w:r>
      <w:r w:rsidR="00796FA2" w:rsidRPr="002F0BFE">
        <w:rPr>
          <w:rFonts w:cs="Arial"/>
          <w:sz w:val="24"/>
          <w:szCs w:val="24"/>
        </w:rPr>
        <w:t>c</w:t>
      </w:r>
      <w:r w:rsidR="00216C00" w:rsidRPr="002F0BFE">
        <w:rPr>
          <w:rFonts w:cs="Arial"/>
          <w:sz w:val="24"/>
          <w:szCs w:val="24"/>
        </w:rPr>
        <w:t xml:space="preserve">ase </w:t>
      </w:r>
      <w:r w:rsidR="00796FA2" w:rsidRPr="002F0BFE">
        <w:rPr>
          <w:rFonts w:cs="Arial"/>
          <w:sz w:val="24"/>
          <w:szCs w:val="24"/>
        </w:rPr>
        <w:t>m</w:t>
      </w:r>
      <w:r w:rsidR="00216C00" w:rsidRPr="002F0BFE">
        <w:rPr>
          <w:rFonts w:cs="Arial"/>
          <w:sz w:val="24"/>
          <w:szCs w:val="24"/>
        </w:rPr>
        <w:t>anagement.</w:t>
      </w:r>
      <w:r w:rsidR="00216C00" w:rsidRPr="002F0BFE">
        <w:rPr>
          <w:rStyle w:val="FootnoteReference"/>
          <w:rFonts w:cs="Arial"/>
          <w:sz w:val="24"/>
          <w:szCs w:val="24"/>
        </w:rPr>
        <w:footnoteReference w:id="22"/>
      </w:r>
      <w:r w:rsidR="00F264E1" w:rsidRPr="002F0BFE">
        <w:rPr>
          <w:rFonts w:cs="Arial"/>
          <w:sz w:val="24"/>
          <w:szCs w:val="24"/>
        </w:rPr>
        <w:t xml:space="preserve"> </w:t>
      </w:r>
      <w:r w:rsidR="00843E09" w:rsidRPr="002F0BFE">
        <w:rPr>
          <w:rFonts w:cs="Arial"/>
          <w:sz w:val="24"/>
          <w:szCs w:val="24"/>
        </w:rPr>
        <w:t>T</w:t>
      </w:r>
      <w:r w:rsidR="00216C00" w:rsidRPr="002F0BFE">
        <w:rPr>
          <w:rFonts w:cs="Arial"/>
          <w:sz w:val="24"/>
          <w:szCs w:val="24"/>
        </w:rPr>
        <w:t xml:space="preserve">he Victorian Supreme Court has also adopted a Practice Note favouring the use of predictive coding to streamline the process of discovery of </w:t>
      </w:r>
      <w:r w:rsidR="006F18A3" w:rsidRPr="002F0BFE">
        <w:rPr>
          <w:rFonts w:cs="Arial"/>
          <w:sz w:val="24"/>
          <w:szCs w:val="24"/>
        </w:rPr>
        <w:t>large volumes of electronically stored information.</w:t>
      </w:r>
      <w:r w:rsidR="006F18A3" w:rsidRPr="002F0BFE">
        <w:rPr>
          <w:rStyle w:val="FootnoteReference"/>
          <w:rFonts w:cs="Arial"/>
          <w:sz w:val="24"/>
          <w:szCs w:val="24"/>
        </w:rPr>
        <w:footnoteReference w:id="23"/>
      </w:r>
      <w:r w:rsidR="006F18A3" w:rsidRPr="002F0BFE">
        <w:rPr>
          <w:rFonts w:cs="Arial"/>
          <w:sz w:val="24"/>
          <w:szCs w:val="24"/>
        </w:rPr>
        <w:t xml:space="preserve"> </w:t>
      </w:r>
      <w:r w:rsidR="001721A7" w:rsidRPr="002F0BFE">
        <w:rPr>
          <w:rFonts w:cs="Arial"/>
          <w:sz w:val="24"/>
          <w:szCs w:val="24"/>
        </w:rPr>
        <w:t xml:space="preserve">The appearance of witnesses in arbitration by video-conference is </w:t>
      </w:r>
      <w:r w:rsidR="002C750B" w:rsidRPr="002F0BFE">
        <w:rPr>
          <w:rFonts w:cs="Arial"/>
          <w:sz w:val="24"/>
          <w:szCs w:val="24"/>
        </w:rPr>
        <w:t xml:space="preserve">now </w:t>
      </w:r>
      <w:r w:rsidR="001721A7" w:rsidRPr="002F0BFE">
        <w:rPr>
          <w:rFonts w:cs="Arial"/>
          <w:sz w:val="24"/>
          <w:szCs w:val="24"/>
        </w:rPr>
        <w:t>common</w:t>
      </w:r>
      <w:r w:rsidRPr="002F0BFE">
        <w:rPr>
          <w:rFonts w:cs="Arial"/>
          <w:sz w:val="24"/>
          <w:szCs w:val="24"/>
        </w:rPr>
        <w:t>place</w:t>
      </w:r>
      <w:r w:rsidR="006F18A3" w:rsidRPr="002F0BFE">
        <w:rPr>
          <w:rFonts w:cs="Arial"/>
          <w:sz w:val="24"/>
          <w:szCs w:val="24"/>
        </w:rPr>
        <w:t>.</w:t>
      </w:r>
      <w:r w:rsidR="003F3AD2" w:rsidRPr="002F0BFE">
        <w:rPr>
          <w:rStyle w:val="FootnoteReference"/>
          <w:rFonts w:cs="Arial"/>
          <w:sz w:val="24"/>
          <w:szCs w:val="24"/>
        </w:rPr>
        <w:footnoteReference w:id="24"/>
      </w:r>
      <w:r w:rsidR="002C750B" w:rsidRPr="002F0BFE">
        <w:rPr>
          <w:rFonts w:cs="Arial"/>
          <w:sz w:val="24"/>
          <w:szCs w:val="24"/>
        </w:rPr>
        <w:t xml:space="preserve"> </w:t>
      </w:r>
      <w:r w:rsidR="003F3AD2" w:rsidRPr="002F0BFE">
        <w:rPr>
          <w:rFonts w:cs="Arial"/>
          <w:sz w:val="24"/>
          <w:szCs w:val="24"/>
        </w:rPr>
        <w:t>In August 2016</w:t>
      </w:r>
      <w:r w:rsidR="00796FA2" w:rsidRPr="002F0BFE">
        <w:rPr>
          <w:rFonts w:cs="Arial"/>
          <w:sz w:val="24"/>
          <w:szCs w:val="24"/>
        </w:rPr>
        <w:t>,</w:t>
      </w:r>
      <w:r w:rsidR="003F3AD2" w:rsidRPr="002F0BFE">
        <w:rPr>
          <w:rFonts w:cs="Arial"/>
          <w:sz w:val="24"/>
          <w:szCs w:val="24"/>
        </w:rPr>
        <w:t xml:space="preserve"> ACICA published their 'Draft Procedural Order for the Use of Online Dispute Resolution Technologies'</w:t>
      </w:r>
      <w:r w:rsidR="00796FA2" w:rsidRPr="002F0BFE">
        <w:rPr>
          <w:rFonts w:cs="Arial"/>
          <w:sz w:val="24"/>
          <w:szCs w:val="24"/>
        </w:rPr>
        <w:t>,</w:t>
      </w:r>
      <w:r w:rsidR="003F3AD2" w:rsidRPr="002F0BFE">
        <w:rPr>
          <w:rFonts w:cs="Arial"/>
          <w:sz w:val="24"/>
          <w:szCs w:val="24"/>
        </w:rPr>
        <w:t xml:space="preserve"> wh</w:t>
      </w:r>
      <w:r w:rsidR="007F7E57" w:rsidRPr="002F0BFE">
        <w:rPr>
          <w:rFonts w:cs="Arial"/>
          <w:sz w:val="24"/>
          <w:szCs w:val="24"/>
        </w:rPr>
        <w:t>ich provides a framework for</w:t>
      </w:r>
      <w:r w:rsidR="003F3AD2" w:rsidRPr="002F0BFE">
        <w:rPr>
          <w:rFonts w:cs="Arial"/>
          <w:sz w:val="24"/>
          <w:szCs w:val="24"/>
        </w:rPr>
        <w:t xml:space="preserve"> us</w:t>
      </w:r>
      <w:r w:rsidR="00480F4F" w:rsidRPr="002F0BFE">
        <w:rPr>
          <w:rFonts w:cs="Arial"/>
          <w:sz w:val="24"/>
          <w:szCs w:val="24"/>
        </w:rPr>
        <w:t xml:space="preserve">ing </w:t>
      </w:r>
      <w:r w:rsidRPr="002F0BFE">
        <w:rPr>
          <w:rFonts w:cs="Arial"/>
          <w:sz w:val="24"/>
          <w:szCs w:val="24"/>
        </w:rPr>
        <w:t xml:space="preserve">new </w:t>
      </w:r>
      <w:r w:rsidR="003F3AD2" w:rsidRPr="002F0BFE">
        <w:rPr>
          <w:rFonts w:cs="Arial"/>
          <w:sz w:val="24"/>
          <w:szCs w:val="24"/>
        </w:rPr>
        <w:t>technologies</w:t>
      </w:r>
      <w:r w:rsidR="00480F4F" w:rsidRPr="002F0BFE">
        <w:rPr>
          <w:rFonts w:cs="Arial"/>
          <w:sz w:val="24"/>
          <w:szCs w:val="24"/>
        </w:rPr>
        <w:t xml:space="preserve"> for the arbitration</w:t>
      </w:r>
      <w:r w:rsidR="003F3AD2" w:rsidRPr="002F0BFE">
        <w:rPr>
          <w:rFonts w:cs="Arial"/>
          <w:sz w:val="24"/>
          <w:szCs w:val="24"/>
        </w:rPr>
        <w:t xml:space="preserve"> in accordance with the ACICA rules.</w:t>
      </w:r>
      <w:r w:rsidR="003F3AD2" w:rsidRPr="002F0BFE">
        <w:rPr>
          <w:rStyle w:val="FootnoteReference"/>
          <w:rFonts w:cs="Arial"/>
          <w:sz w:val="24"/>
          <w:szCs w:val="24"/>
        </w:rPr>
        <w:footnoteReference w:id="25"/>
      </w:r>
      <w:r w:rsidR="003F3AD2" w:rsidRPr="002F0BFE">
        <w:rPr>
          <w:rFonts w:cs="Arial"/>
          <w:sz w:val="24"/>
          <w:szCs w:val="24"/>
        </w:rPr>
        <w:t xml:space="preserve"> </w:t>
      </w:r>
      <w:r w:rsidR="000767D2" w:rsidRPr="002F0BFE">
        <w:rPr>
          <w:rFonts w:cs="Arial"/>
          <w:sz w:val="24"/>
          <w:szCs w:val="24"/>
        </w:rPr>
        <w:t>In the introduction to the Draft Procedural Order ACICA outlines video conferencing and WebEx Meeting Centre Online Product as examples of tools that can assist in cross-border arbitration, particularly during preliminary conferences.</w:t>
      </w:r>
      <w:r w:rsidR="000767D2" w:rsidRPr="002F0BFE">
        <w:rPr>
          <w:rStyle w:val="FootnoteReference"/>
          <w:rFonts w:cs="Arial"/>
          <w:sz w:val="24"/>
          <w:szCs w:val="24"/>
        </w:rPr>
        <w:footnoteReference w:id="26"/>
      </w:r>
      <w:r w:rsidR="000767D2" w:rsidRPr="002F0BFE">
        <w:rPr>
          <w:rFonts w:cs="Arial"/>
          <w:sz w:val="24"/>
          <w:szCs w:val="24"/>
        </w:rPr>
        <w:t xml:space="preserve"> </w:t>
      </w:r>
      <w:r w:rsidRPr="002F0BFE">
        <w:rPr>
          <w:rFonts w:cs="Arial"/>
          <w:sz w:val="24"/>
          <w:szCs w:val="24"/>
        </w:rPr>
        <w:t>W</w:t>
      </w:r>
      <w:r w:rsidR="000E186B" w:rsidRPr="002F0BFE">
        <w:rPr>
          <w:rFonts w:cs="Arial"/>
          <w:sz w:val="24"/>
          <w:szCs w:val="24"/>
        </w:rPr>
        <w:t xml:space="preserve">ith the growing acceptance of </w:t>
      </w:r>
      <w:r w:rsidR="00796FA2" w:rsidRPr="002F0BFE">
        <w:rPr>
          <w:rFonts w:cs="Arial"/>
          <w:sz w:val="24"/>
          <w:szCs w:val="24"/>
        </w:rPr>
        <w:t>technology</w:t>
      </w:r>
      <w:r w:rsidR="000E186B" w:rsidRPr="002F0BFE">
        <w:rPr>
          <w:rFonts w:cs="Arial"/>
          <w:sz w:val="24"/>
          <w:szCs w:val="24"/>
        </w:rPr>
        <w:t xml:space="preserve"> by the Courts and ACICA it is likely that the technology capabilities of Australia</w:t>
      </w:r>
      <w:r w:rsidR="00D1185F" w:rsidRPr="002F0BFE">
        <w:rPr>
          <w:rFonts w:cs="Arial"/>
          <w:sz w:val="24"/>
          <w:szCs w:val="24"/>
        </w:rPr>
        <w:t xml:space="preserve"> </w:t>
      </w:r>
      <w:r w:rsidR="000E186B" w:rsidRPr="002F0BFE">
        <w:rPr>
          <w:rFonts w:cs="Arial"/>
          <w:sz w:val="24"/>
          <w:szCs w:val="24"/>
        </w:rPr>
        <w:t xml:space="preserve">will continue </w:t>
      </w:r>
      <w:r w:rsidR="001721A7" w:rsidRPr="002F0BFE">
        <w:rPr>
          <w:rFonts w:cs="Arial"/>
          <w:sz w:val="24"/>
          <w:szCs w:val="24"/>
        </w:rPr>
        <w:t>at the leading edge of international best practice</w:t>
      </w:r>
      <w:r w:rsidR="000E186B" w:rsidRPr="002F0BFE">
        <w:rPr>
          <w:rFonts w:cs="Arial"/>
          <w:sz w:val="24"/>
          <w:szCs w:val="24"/>
        </w:rPr>
        <w:t>.</w:t>
      </w:r>
    </w:p>
    <w:p w14:paraId="26402825" w14:textId="77777777" w:rsidR="005B0A85" w:rsidRPr="002F0BFE" w:rsidRDefault="005B0A85" w:rsidP="008725A9">
      <w:pPr>
        <w:pStyle w:val="Heading1"/>
        <w:rPr>
          <w:sz w:val="24"/>
          <w:szCs w:val="24"/>
        </w:rPr>
      </w:pPr>
      <w:r w:rsidRPr="002F0BFE">
        <w:rPr>
          <w:sz w:val="24"/>
          <w:szCs w:val="24"/>
        </w:rPr>
        <w:t xml:space="preserve">Legal framework </w:t>
      </w:r>
    </w:p>
    <w:p w14:paraId="0650DB60" w14:textId="133F528E" w:rsidR="00A12251" w:rsidRPr="002F0BFE" w:rsidRDefault="00AC234B" w:rsidP="00A12251">
      <w:pPr>
        <w:spacing w:line="360" w:lineRule="auto"/>
        <w:jc w:val="both"/>
        <w:rPr>
          <w:rFonts w:cs="Arial"/>
          <w:sz w:val="24"/>
          <w:szCs w:val="24"/>
        </w:rPr>
      </w:pPr>
      <w:r w:rsidRPr="002F0BFE">
        <w:rPr>
          <w:rFonts w:cs="Arial"/>
          <w:sz w:val="24"/>
          <w:szCs w:val="24"/>
        </w:rPr>
        <w:t>Turning from logistical matters to the</w:t>
      </w:r>
      <w:r w:rsidR="00A12251" w:rsidRPr="002F0BFE">
        <w:rPr>
          <w:rFonts w:cs="Arial"/>
          <w:sz w:val="24"/>
          <w:szCs w:val="24"/>
        </w:rPr>
        <w:t xml:space="preserve"> legal framework </w:t>
      </w:r>
      <w:r w:rsidR="001721A7" w:rsidRPr="002F0BFE">
        <w:rPr>
          <w:rFonts w:cs="Arial"/>
          <w:sz w:val="24"/>
          <w:szCs w:val="24"/>
        </w:rPr>
        <w:t>for arbitration</w:t>
      </w:r>
      <w:r w:rsidRPr="002F0BFE">
        <w:rPr>
          <w:rFonts w:cs="Arial"/>
          <w:sz w:val="24"/>
          <w:szCs w:val="24"/>
        </w:rPr>
        <w:t>, the law</w:t>
      </w:r>
      <w:r w:rsidR="001721A7" w:rsidRPr="002F0BFE">
        <w:rPr>
          <w:rFonts w:cs="Arial"/>
          <w:sz w:val="24"/>
          <w:szCs w:val="24"/>
        </w:rPr>
        <w:t xml:space="preserve"> in Australia </w:t>
      </w:r>
      <w:r w:rsidRPr="002F0BFE">
        <w:rPr>
          <w:rFonts w:cs="Arial"/>
          <w:sz w:val="24"/>
          <w:szCs w:val="24"/>
        </w:rPr>
        <w:t>demonstrates</w:t>
      </w:r>
      <w:r w:rsidR="001721A7" w:rsidRPr="002F0BFE">
        <w:rPr>
          <w:rFonts w:cs="Arial"/>
          <w:sz w:val="24"/>
          <w:szCs w:val="24"/>
        </w:rPr>
        <w:t xml:space="preserve"> the nation’s commitment to respecting party autonomy and the right to arbitrate. </w:t>
      </w:r>
      <w:r w:rsidR="00A12251" w:rsidRPr="002F0BFE">
        <w:rPr>
          <w:rFonts w:cs="Arial"/>
          <w:sz w:val="24"/>
          <w:szCs w:val="24"/>
        </w:rPr>
        <w:t xml:space="preserve">Legally, there are many factors to consider in choosing an arbitral seat. Different parties will have different priorities, but </w:t>
      </w:r>
      <w:r w:rsidRPr="002F0BFE">
        <w:rPr>
          <w:rFonts w:cs="Arial"/>
          <w:sz w:val="24"/>
          <w:szCs w:val="24"/>
        </w:rPr>
        <w:t xml:space="preserve">some </w:t>
      </w:r>
      <w:r w:rsidR="00A12251" w:rsidRPr="002F0BFE">
        <w:rPr>
          <w:rFonts w:cs="Arial"/>
          <w:sz w:val="24"/>
          <w:szCs w:val="24"/>
        </w:rPr>
        <w:t xml:space="preserve">needs are universal. The need </w:t>
      </w:r>
      <w:r w:rsidR="00A12251" w:rsidRPr="002F0BFE">
        <w:rPr>
          <w:rFonts w:cs="Arial"/>
          <w:sz w:val="24"/>
          <w:szCs w:val="24"/>
        </w:rPr>
        <w:lastRenderedPageBreak/>
        <w:t xml:space="preserve">for robust legislation, a supportive judiciary, and effective institutions are common to all arbitrations and in many respects, Australia is at the leading edge. </w:t>
      </w:r>
    </w:p>
    <w:p w14:paraId="6CB17076" w14:textId="0158A9B2" w:rsidR="002C750B" w:rsidRPr="002F0BFE" w:rsidRDefault="002C750B" w:rsidP="002C750B">
      <w:pPr>
        <w:pStyle w:val="Heading2"/>
        <w:rPr>
          <w:rFonts w:cs="Arial"/>
          <w:szCs w:val="24"/>
        </w:rPr>
      </w:pPr>
      <w:r w:rsidRPr="002F0BFE">
        <w:rPr>
          <w:rFonts w:cs="Arial"/>
          <w:szCs w:val="24"/>
        </w:rPr>
        <w:t xml:space="preserve">Legislation </w:t>
      </w:r>
      <w:r w:rsidR="00A151AD" w:rsidRPr="002F0BFE">
        <w:rPr>
          <w:rFonts w:cs="Arial"/>
          <w:szCs w:val="24"/>
        </w:rPr>
        <w:t>Origins</w:t>
      </w:r>
    </w:p>
    <w:p w14:paraId="66FCB3BC" w14:textId="29EB9044" w:rsidR="00A12251" w:rsidRPr="002F0BFE" w:rsidRDefault="005B0A85" w:rsidP="00A12251">
      <w:pPr>
        <w:spacing w:line="360" w:lineRule="auto"/>
        <w:jc w:val="both"/>
        <w:rPr>
          <w:rFonts w:cs="Arial"/>
          <w:sz w:val="24"/>
          <w:szCs w:val="24"/>
        </w:rPr>
      </w:pPr>
      <w:r w:rsidRPr="002F0BFE">
        <w:rPr>
          <w:rFonts w:cs="Arial"/>
          <w:sz w:val="24"/>
          <w:szCs w:val="24"/>
        </w:rPr>
        <w:t>T</w:t>
      </w:r>
      <w:r w:rsidR="00A12251" w:rsidRPr="002F0BFE">
        <w:rPr>
          <w:rFonts w:cs="Arial"/>
          <w:sz w:val="24"/>
          <w:szCs w:val="24"/>
        </w:rPr>
        <w:t xml:space="preserve">he </w:t>
      </w:r>
      <w:r w:rsidR="001721A7" w:rsidRPr="002F0BFE">
        <w:rPr>
          <w:rFonts w:cs="Arial"/>
          <w:sz w:val="24"/>
          <w:szCs w:val="24"/>
        </w:rPr>
        <w:t xml:space="preserve">use </w:t>
      </w:r>
      <w:r w:rsidR="00A12251" w:rsidRPr="002F0BFE">
        <w:rPr>
          <w:rFonts w:cs="Arial"/>
          <w:sz w:val="24"/>
          <w:szCs w:val="24"/>
        </w:rPr>
        <w:t>of arbitration</w:t>
      </w:r>
      <w:r w:rsidRPr="002F0BFE">
        <w:rPr>
          <w:rFonts w:cs="Arial"/>
          <w:sz w:val="24"/>
          <w:szCs w:val="24"/>
        </w:rPr>
        <w:t xml:space="preserve"> </w:t>
      </w:r>
      <w:r w:rsidR="001721A7" w:rsidRPr="002F0BFE">
        <w:rPr>
          <w:rFonts w:cs="Arial"/>
          <w:sz w:val="24"/>
          <w:szCs w:val="24"/>
        </w:rPr>
        <w:t>on these lands has a rich history</w:t>
      </w:r>
      <w:r w:rsidR="00A12251" w:rsidRPr="002F0BFE">
        <w:rPr>
          <w:rFonts w:cs="Arial"/>
          <w:sz w:val="24"/>
          <w:szCs w:val="24"/>
        </w:rPr>
        <w:t>. Australia's relationship with arbitration pre-dates Western civilisation. Aboriginal Australians have, for many millennia, implemented their own dispute resolution system that closely resembled arbitration to resolve disputes between members within a community.</w:t>
      </w:r>
      <w:r w:rsidR="00A12251" w:rsidRPr="002F0BFE">
        <w:rPr>
          <w:rStyle w:val="FootnoteReference"/>
          <w:rFonts w:cs="Arial"/>
          <w:sz w:val="24"/>
          <w:szCs w:val="24"/>
        </w:rPr>
        <w:footnoteReference w:id="27"/>
      </w:r>
      <w:r w:rsidR="00A12251" w:rsidRPr="002F0BFE">
        <w:rPr>
          <w:rFonts w:cs="Arial"/>
          <w:sz w:val="24"/>
          <w:szCs w:val="24"/>
        </w:rPr>
        <w:t xml:space="preserve"> The Arbitrators in these disputes were the elders of the communities - a practice that has survived the passages of both culture and time. </w:t>
      </w:r>
    </w:p>
    <w:p w14:paraId="0788268A" w14:textId="075B534F" w:rsidR="00A12251" w:rsidRPr="002F0BFE" w:rsidRDefault="00A12251" w:rsidP="00A12251">
      <w:pPr>
        <w:spacing w:line="360" w:lineRule="auto"/>
        <w:jc w:val="both"/>
        <w:rPr>
          <w:rFonts w:cs="Arial"/>
          <w:sz w:val="24"/>
          <w:szCs w:val="24"/>
        </w:rPr>
      </w:pPr>
      <w:r w:rsidRPr="002F0BFE">
        <w:rPr>
          <w:rFonts w:cs="Arial"/>
          <w:sz w:val="24"/>
          <w:szCs w:val="24"/>
        </w:rPr>
        <w:t xml:space="preserve">The current laws regulating both domestic and international arbitration incorporate the </w:t>
      </w:r>
      <w:r w:rsidRPr="002F0BFE">
        <w:rPr>
          <w:rFonts w:cs="Arial"/>
          <w:i/>
          <w:sz w:val="24"/>
          <w:szCs w:val="24"/>
        </w:rPr>
        <w:t>UNCITRAL Model Law</w:t>
      </w:r>
      <w:r w:rsidRPr="002F0BFE">
        <w:rPr>
          <w:rFonts w:cs="Arial"/>
          <w:sz w:val="24"/>
          <w:szCs w:val="24"/>
        </w:rPr>
        <w:t xml:space="preserve">, the result of which is uniformity and consistency of </w:t>
      </w:r>
      <w:r w:rsidR="001721A7" w:rsidRPr="002F0BFE">
        <w:rPr>
          <w:rFonts w:cs="Arial"/>
          <w:sz w:val="24"/>
          <w:szCs w:val="24"/>
        </w:rPr>
        <w:t>arbitration laws</w:t>
      </w:r>
      <w:r w:rsidRPr="002F0BFE">
        <w:rPr>
          <w:rFonts w:cs="Arial"/>
          <w:sz w:val="24"/>
          <w:szCs w:val="24"/>
        </w:rPr>
        <w:t xml:space="preserve"> the nation over,</w:t>
      </w:r>
      <w:r w:rsidR="001721A7" w:rsidRPr="002F0BFE">
        <w:rPr>
          <w:rFonts w:cs="Arial"/>
          <w:sz w:val="24"/>
          <w:szCs w:val="24"/>
        </w:rPr>
        <w:t xml:space="preserve"> in line with international best practice</w:t>
      </w:r>
      <w:r w:rsidRPr="002F0BFE">
        <w:rPr>
          <w:rFonts w:cs="Arial"/>
          <w:sz w:val="24"/>
          <w:szCs w:val="24"/>
        </w:rPr>
        <w:t xml:space="preserve">. </w:t>
      </w:r>
      <w:r w:rsidR="001721A7" w:rsidRPr="002F0BFE">
        <w:rPr>
          <w:rFonts w:cs="Arial"/>
          <w:sz w:val="24"/>
          <w:szCs w:val="24"/>
        </w:rPr>
        <w:t xml:space="preserve">A product of this uniformity has been the development of consistent Australia-wide jurisprudence and precedent. </w:t>
      </w:r>
      <w:r w:rsidRPr="002F0BFE">
        <w:rPr>
          <w:rFonts w:cs="Arial"/>
          <w:sz w:val="24"/>
          <w:szCs w:val="24"/>
        </w:rPr>
        <w:t xml:space="preserve">The familiarity with the </w:t>
      </w:r>
      <w:r w:rsidRPr="002F0BFE">
        <w:rPr>
          <w:rFonts w:cs="Arial"/>
          <w:i/>
          <w:sz w:val="24"/>
          <w:szCs w:val="24"/>
        </w:rPr>
        <w:t xml:space="preserve">Model Law </w:t>
      </w:r>
      <w:r w:rsidRPr="002F0BFE">
        <w:rPr>
          <w:rFonts w:cs="Arial"/>
          <w:sz w:val="24"/>
          <w:szCs w:val="24"/>
        </w:rPr>
        <w:t>that Australian arbitrators and counsel have gained ha</w:t>
      </w:r>
      <w:r w:rsidR="00AC234B" w:rsidRPr="002F0BFE">
        <w:rPr>
          <w:rFonts w:cs="Arial"/>
          <w:sz w:val="24"/>
          <w:szCs w:val="24"/>
        </w:rPr>
        <w:t>s</w:t>
      </w:r>
      <w:r w:rsidRPr="002F0BFE">
        <w:rPr>
          <w:rFonts w:cs="Arial"/>
          <w:sz w:val="24"/>
          <w:szCs w:val="24"/>
        </w:rPr>
        <w:t xml:space="preserve"> equipped them </w:t>
      </w:r>
      <w:r w:rsidR="00AC234B" w:rsidRPr="002F0BFE">
        <w:rPr>
          <w:rFonts w:cs="Arial"/>
          <w:sz w:val="24"/>
          <w:szCs w:val="24"/>
        </w:rPr>
        <w:t xml:space="preserve">to </w:t>
      </w:r>
      <w:r w:rsidRPr="002F0BFE">
        <w:rPr>
          <w:rFonts w:cs="Arial"/>
          <w:sz w:val="24"/>
          <w:szCs w:val="24"/>
        </w:rPr>
        <w:t>compe</w:t>
      </w:r>
      <w:r w:rsidR="00AC234B" w:rsidRPr="002F0BFE">
        <w:rPr>
          <w:rFonts w:cs="Arial"/>
          <w:sz w:val="24"/>
          <w:szCs w:val="24"/>
        </w:rPr>
        <w:t>te</w:t>
      </w:r>
      <w:r w:rsidRPr="002F0BFE">
        <w:rPr>
          <w:rFonts w:cs="Arial"/>
          <w:sz w:val="24"/>
          <w:szCs w:val="24"/>
        </w:rPr>
        <w:t xml:space="preserve"> for arbitration work, internationally and locally.</w:t>
      </w:r>
      <w:r w:rsidR="001721A7" w:rsidRPr="002F0BFE">
        <w:rPr>
          <w:rFonts w:cs="Arial"/>
          <w:sz w:val="24"/>
          <w:szCs w:val="24"/>
        </w:rPr>
        <w:t xml:space="preserve"> The expertise of local judges is equally impressive.</w:t>
      </w:r>
    </w:p>
    <w:p w14:paraId="0D3B3D8C" w14:textId="3DCD7523" w:rsidR="00A12251" w:rsidRPr="002F0BFE" w:rsidRDefault="00A12251" w:rsidP="00A12251">
      <w:pPr>
        <w:spacing w:line="360" w:lineRule="auto"/>
        <w:jc w:val="both"/>
        <w:rPr>
          <w:rFonts w:cs="Arial"/>
          <w:sz w:val="24"/>
          <w:szCs w:val="24"/>
        </w:rPr>
      </w:pPr>
      <w:r w:rsidRPr="002F0BFE">
        <w:rPr>
          <w:rFonts w:cs="Arial"/>
          <w:sz w:val="24"/>
          <w:szCs w:val="24"/>
        </w:rPr>
        <w:t xml:space="preserve">Australia's modern arbitration laws are, of course, the product of centuries of reform since English colonization in 1788. Like most Commonwealth states, Australia derived many of its initial arbitration laws and general laws from those enacted in England. </w:t>
      </w:r>
      <w:r w:rsidR="00AC234B" w:rsidRPr="002F0BFE">
        <w:rPr>
          <w:rFonts w:cs="Arial"/>
          <w:sz w:val="24"/>
          <w:szCs w:val="24"/>
        </w:rPr>
        <w:t>Starting with</w:t>
      </w:r>
      <w:r w:rsidRPr="002F0BFE">
        <w:rPr>
          <w:rFonts w:cs="Arial"/>
          <w:sz w:val="24"/>
          <w:szCs w:val="24"/>
        </w:rPr>
        <w:t xml:space="preserve"> the English</w:t>
      </w:r>
      <w:r w:rsidRPr="002F0BFE">
        <w:rPr>
          <w:rFonts w:cs="Arial"/>
          <w:i/>
          <w:sz w:val="24"/>
          <w:szCs w:val="24"/>
        </w:rPr>
        <w:t xml:space="preserve"> Act for Determining Differences by Arbitration 1698</w:t>
      </w:r>
      <w:r w:rsidRPr="002F0BFE">
        <w:rPr>
          <w:rFonts w:cs="Arial"/>
          <w:sz w:val="24"/>
          <w:szCs w:val="24"/>
        </w:rPr>
        <w:t>,</w:t>
      </w:r>
      <w:r w:rsidRPr="002F0BFE">
        <w:rPr>
          <w:rStyle w:val="FootnoteReference"/>
          <w:rFonts w:cs="Arial"/>
          <w:sz w:val="24"/>
          <w:szCs w:val="24"/>
        </w:rPr>
        <w:footnoteReference w:id="28"/>
      </w:r>
      <w:r w:rsidRPr="002F0BFE">
        <w:rPr>
          <w:rFonts w:cs="Arial"/>
          <w:sz w:val="24"/>
          <w:szCs w:val="24"/>
        </w:rPr>
        <w:t xml:space="preserve"> the first </w:t>
      </w:r>
      <w:r w:rsidRPr="002F0BFE">
        <w:rPr>
          <w:rFonts w:cs="Arial"/>
          <w:i/>
          <w:sz w:val="24"/>
          <w:szCs w:val="24"/>
        </w:rPr>
        <w:t>Arbitration Act</w:t>
      </w:r>
      <w:r w:rsidR="00AC234B" w:rsidRPr="002F0BFE">
        <w:rPr>
          <w:rFonts w:cs="Arial"/>
          <w:i/>
          <w:sz w:val="24"/>
          <w:szCs w:val="24"/>
        </w:rPr>
        <w:t xml:space="preserve"> </w:t>
      </w:r>
      <w:r w:rsidR="00AC234B" w:rsidRPr="002F0BFE">
        <w:rPr>
          <w:rFonts w:cs="Arial"/>
          <w:sz w:val="24"/>
          <w:szCs w:val="24"/>
        </w:rPr>
        <w:t>was passed by the New South Wales Parliament</w:t>
      </w:r>
      <w:r w:rsidRPr="002F0BFE">
        <w:rPr>
          <w:rFonts w:cs="Arial"/>
          <w:i/>
          <w:sz w:val="24"/>
          <w:szCs w:val="24"/>
        </w:rPr>
        <w:t xml:space="preserve"> </w:t>
      </w:r>
      <w:r w:rsidRPr="002F0BFE">
        <w:rPr>
          <w:rFonts w:cs="Arial"/>
          <w:sz w:val="24"/>
          <w:szCs w:val="24"/>
        </w:rPr>
        <w:t xml:space="preserve">in 1867 regulating domestic arbitration. </w:t>
      </w:r>
      <w:r w:rsidR="00AC234B" w:rsidRPr="002F0BFE">
        <w:rPr>
          <w:rFonts w:cs="Arial"/>
          <w:sz w:val="24"/>
          <w:szCs w:val="24"/>
        </w:rPr>
        <w:t>More recently,</w:t>
      </w:r>
      <w:r w:rsidRPr="002F0BFE">
        <w:rPr>
          <w:rFonts w:cs="Arial"/>
          <w:sz w:val="24"/>
          <w:szCs w:val="24"/>
        </w:rPr>
        <w:t xml:space="preserve"> </w:t>
      </w:r>
      <w:r w:rsidRPr="002F0BFE">
        <w:rPr>
          <w:rFonts w:cs="Arial"/>
          <w:i/>
          <w:sz w:val="24"/>
          <w:szCs w:val="24"/>
        </w:rPr>
        <w:t xml:space="preserve">Uniform Commercial Arbitration Acts </w:t>
      </w:r>
      <w:r w:rsidRPr="002F0BFE">
        <w:rPr>
          <w:rFonts w:cs="Arial"/>
          <w:sz w:val="24"/>
          <w:szCs w:val="24"/>
        </w:rPr>
        <w:t xml:space="preserve">have been adopted by every state and territory, and </w:t>
      </w:r>
      <w:r w:rsidR="00AC234B" w:rsidRPr="002F0BFE">
        <w:rPr>
          <w:rFonts w:cs="Arial"/>
          <w:sz w:val="24"/>
          <w:szCs w:val="24"/>
        </w:rPr>
        <w:t xml:space="preserve">they now </w:t>
      </w:r>
      <w:r w:rsidRPr="002F0BFE">
        <w:rPr>
          <w:rFonts w:cs="Arial"/>
          <w:sz w:val="24"/>
          <w:szCs w:val="24"/>
        </w:rPr>
        <w:t xml:space="preserve">incorporate the 2006 Amended </w:t>
      </w:r>
      <w:r w:rsidRPr="002F0BFE">
        <w:rPr>
          <w:rFonts w:cs="Arial"/>
          <w:i/>
          <w:sz w:val="24"/>
          <w:szCs w:val="24"/>
        </w:rPr>
        <w:t>Model Law</w:t>
      </w:r>
      <w:r w:rsidRPr="002F0BFE">
        <w:rPr>
          <w:rFonts w:cs="Arial"/>
          <w:sz w:val="24"/>
          <w:szCs w:val="24"/>
        </w:rPr>
        <w:t xml:space="preserve"> after undergoing substantial reform in the 2010. This reform was champ</w:t>
      </w:r>
      <w:r w:rsidR="00C41484" w:rsidRPr="002F0BFE">
        <w:rPr>
          <w:rFonts w:cs="Arial"/>
          <w:sz w:val="24"/>
          <w:szCs w:val="24"/>
        </w:rPr>
        <w:t xml:space="preserve">ioned by the NSW Supreme Court, </w:t>
      </w:r>
      <w:r w:rsidR="00A151AD" w:rsidRPr="002F0BFE">
        <w:rPr>
          <w:rFonts w:cs="Arial"/>
          <w:sz w:val="24"/>
          <w:szCs w:val="24"/>
        </w:rPr>
        <w:t>bringing</w:t>
      </w:r>
      <w:r w:rsidRPr="002F0BFE">
        <w:rPr>
          <w:rFonts w:cs="Arial"/>
          <w:sz w:val="24"/>
          <w:szCs w:val="24"/>
        </w:rPr>
        <w:t xml:space="preserve"> Australia in </w:t>
      </w:r>
      <w:r w:rsidR="00A151AD" w:rsidRPr="002F0BFE">
        <w:rPr>
          <w:rFonts w:cs="Arial"/>
          <w:sz w:val="24"/>
          <w:szCs w:val="24"/>
        </w:rPr>
        <w:t>line</w:t>
      </w:r>
      <w:r w:rsidRPr="002F0BFE">
        <w:rPr>
          <w:rFonts w:cs="Arial"/>
          <w:sz w:val="24"/>
          <w:szCs w:val="24"/>
        </w:rPr>
        <w:t xml:space="preserve"> with international best practice and </w:t>
      </w:r>
      <w:r w:rsidR="00A151AD" w:rsidRPr="002F0BFE">
        <w:rPr>
          <w:rFonts w:cs="Arial"/>
          <w:sz w:val="24"/>
          <w:szCs w:val="24"/>
        </w:rPr>
        <w:t xml:space="preserve">positioning </w:t>
      </w:r>
      <w:r w:rsidRPr="002F0BFE">
        <w:rPr>
          <w:rFonts w:cs="Arial"/>
          <w:sz w:val="24"/>
          <w:szCs w:val="24"/>
        </w:rPr>
        <w:t xml:space="preserve">Australia as a competitive </w:t>
      </w:r>
      <w:r w:rsidR="00A151AD" w:rsidRPr="002F0BFE">
        <w:rPr>
          <w:rFonts w:cs="Arial"/>
          <w:sz w:val="24"/>
          <w:szCs w:val="24"/>
        </w:rPr>
        <w:t>international arbitration seat</w:t>
      </w:r>
      <w:r w:rsidRPr="002F0BFE">
        <w:rPr>
          <w:rFonts w:cs="Arial"/>
          <w:sz w:val="24"/>
          <w:szCs w:val="24"/>
        </w:rPr>
        <w:t xml:space="preserve">. </w:t>
      </w:r>
    </w:p>
    <w:p w14:paraId="34B4ED4A" w14:textId="06736E30" w:rsidR="00A12251" w:rsidRPr="002F0BFE" w:rsidRDefault="00A12251" w:rsidP="00A12251">
      <w:pPr>
        <w:spacing w:line="360" w:lineRule="auto"/>
        <w:jc w:val="both"/>
        <w:rPr>
          <w:rFonts w:cs="Arial"/>
          <w:sz w:val="24"/>
          <w:szCs w:val="24"/>
        </w:rPr>
      </w:pPr>
      <w:r w:rsidRPr="002F0BFE">
        <w:rPr>
          <w:rFonts w:cs="Arial"/>
          <w:sz w:val="24"/>
          <w:szCs w:val="24"/>
        </w:rPr>
        <w:t xml:space="preserve">The life of the federal </w:t>
      </w:r>
      <w:r w:rsidRPr="002F0BFE">
        <w:rPr>
          <w:rFonts w:cs="Arial"/>
          <w:i/>
          <w:sz w:val="24"/>
          <w:szCs w:val="24"/>
        </w:rPr>
        <w:t xml:space="preserve">International Arbitration Act </w:t>
      </w:r>
      <w:r w:rsidRPr="002F0BFE">
        <w:rPr>
          <w:rFonts w:cs="Arial"/>
          <w:sz w:val="24"/>
          <w:szCs w:val="24"/>
        </w:rPr>
        <w:t xml:space="preserve">which governs Australian international arbitration law is much shorter </w:t>
      </w:r>
      <w:r w:rsidR="00A151AD" w:rsidRPr="002F0BFE">
        <w:rPr>
          <w:rFonts w:cs="Arial"/>
          <w:sz w:val="24"/>
          <w:szCs w:val="24"/>
        </w:rPr>
        <w:t>by</w:t>
      </w:r>
      <w:r w:rsidRPr="002F0BFE">
        <w:rPr>
          <w:rFonts w:cs="Arial"/>
          <w:sz w:val="24"/>
          <w:szCs w:val="24"/>
        </w:rPr>
        <w:t xml:space="preserve"> comparison. Upon its enactment in 1974, this Act </w:t>
      </w:r>
      <w:r w:rsidRPr="002F0BFE">
        <w:rPr>
          <w:rFonts w:cs="Arial"/>
          <w:sz w:val="24"/>
          <w:szCs w:val="24"/>
        </w:rPr>
        <w:lastRenderedPageBreak/>
        <w:t xml:space="preserve">incorporated both the </w:t>
      </w:r>
      <w:r w:rsidRPr="002F0BFE">
        <w:rPr>
          <w:rFonts w:cs="Arial"/>
          <w:i/>
          <w:sz w:val="24"/>
          <w:szCs w:val="24"/>
        </w:rPr>
        <w:t>1958</w:t>
      </w:r>
      <w:r w:rsidRPr="002F0BFE">
        <w:rPr>
          <w:rFonts w:cs="Arial"/>
          <w:sz w:val="24"/>
          <w:szCs w:val="24"/>
        </w:rPr>
        <w:t xml:space="preserve"> </w:t>
      </w:r>
      <w:r w:rsidRPr="002F0BFE">
        <w:rPr>
          <w:rFonts w:cs="Arial"/>
          <w:i/>
          <w:sz w:val="24"/>
          <w:szCs w:val="24"/>
        </w:rPr>
        <w:t xml:space="preserve">New York Convention </w:t>
      </w:r>
      <w:r w:rsidRPr="002F0BFE">
        <w:rPr>
          <w:rFonts w:cs="Arial"/>
          <w:sz w:val="24"/>
          <w:szCs w:val="24"/>
        </w:rPr>
        <w:t xml:space="preserve">and the </w:t>
      </w:r>
      <w:r w:rsidRPr="002F0BFE">
        <w:rPr>
          <w:rFonts w:cs="Arial"/>
          <w:i/>
          <w:sz w:val="24"/>
          <w:szCs w:val="24"/>
        </w:rPr>
        <w:t>1965</w:t>
      </w:r>
      <w:r w:rsidRPr="002F0BFE">
        <w:rPr>
          <w:rFonts w:cs="Arial"/>
          <w:sz w:val="24"/>
          <w:szCs w:val="24"/>
        </w:rPr>
        <w:t xml:space="preserve"> </w:t>
      </w:r>
      <w:r w:rsidRPr="002F0BFE">
        <w:rPr>
          <w:rFonts w:cs="Arial"/>
          <w:i/>
          <w:sz w:val="24"/>
          <w:szCs w:val="24"/>
        </w:rPr>
        <w:t>ICSID Convention</w:t>
      </w:r>
      <w:r w:rsidRPr="002F0BFE">
        <w:rPr>
          <w:rFonts w:cs="Arial"/>
          <w:sz w:val="24"/>
          <w:szCs w:val="24"/>
        </w:rPr>
        <w:t xml:space="preserve">, and in 1989 it was amended to incorporate the </w:t>
      </w:r>
      <w:r w:rsidRPr="002F0BFE">
        <w:rPr>
          <w:rFonts w:cs="Arial"/>
          <w:i/>
          <w:sz w:val="24"/>
          <w:szCs w:val="24"/>
        </w:rPr>
        <w:t>Model Law</w:t>
      </w:r>
      <w:r w:rsidRPr="002F0BFE">
        <w:rPr>
          <w:rFonts w:cs="Arial"/>
          <w:sz w:val="24"/>
          <w:szCs w:val="24"/>
        </w:rPr>
        <w:t xml:space="preserve">. In 2010, it was reformed again to incorporate the 2006 Amended </w:t>
      </w:r>
      <w:r w:rsidRPr="002F0BFE">
        <w:rPr>
          <w:rFonts w:cs="Arial"/>
          <w:i/>
          <w:sz w:val="24"/>
          <w:szCs w:val="24"/>
        </w:rPr>
        <w:t>Model Law</w:t>
      </w:r>
      <w:r w:rsidRPr="002F0BFE">
        <w:rPr>
          <w:rFonts w:cs="Arial"/>
          <w:sz w:val="24"/>
          <w:szCs w:val="24"/>
        </w:rPr>
        <w:t xml:space="preserve">, along with a repeal of provisions that had previously allowed parties to opt out of the Model Law. </w:t>
      </w:r>
    </w:p>
    <w:p w14:paraId="1556E39C" w14:textId="416685AE" w:rsidR="00A151AD" w:rsidRPr="002F0BFE" w:rsidRDefault="00A151AD" w:rsidP="00A151AD">
      <w:pPr>
        <w:pStyle w:val="Heading2"/>
        <w:rPr>
          <w:rFonts w:cs="Arial"/>
          <w:szCs w:val="24"/>
        </w:rPr>
      </w:pPr>
      <w:r w:rsidRPr="002F0BFE">
        <w:rPr>
          <w:rFonts w:cs="Arial"/>
          <w:szCs w:val="24"/>
        </w:rPr>
        <w:t xml:space="preserve">Legislation Features </w:t>
      </w:r>
    </w:p>
    <w:p w14:paraId="1C000A06" w14:textId="1DF7B970" w:rsidR="00A12251" w:rsidRPr="002F0BFE" w:rsidRDefault="009C5359" w:rsidP="00A12251">
      <w:pPr>
        <w:spacing w:line="360" w:lineRule="auto"/>
        <w:jc w:val="both"/>
        <w:rPr>
          <w:rFonts w:cs="Arial"/>
          <w:sz w:val="24"/>
          <w:szCs w:val="24"/>
        </w:rPr>
      </w:pPr>
      <w:r w:rsidRPr="002F0BFE">
        <w:rPr>
          <w:rFonts w:cs="Arial"/>
          <w:sz w:val="24"/>
          <w:szCs w:val="24"/>
        </w:rPr>
        <w:t>These enactments have brought Australia’s domestic and international arbitration regimes in line with international best practice, and provide a</w:t>
      </w:r>
      <w:r w:rsidR="00655451" w:rsidRPr="002F0BFE">
        <w:rPr>
          <w:rFonts w:cs="Arial"/>
          <w:sz w:val="24"/>
          <w:szCs w:val="24"/>
        </w:rPr>
        <w:t xml:space="preserve"> </w:t>
      </w:r>
      <w:r w:rsidRPr="002F0BFE">
        <w:rPr>
          <w:rFonts w:cs="Arial"/>
          <w:sz w:val="24"/>
          <w:szCs w:val="24"/>
        </w:rPr>
        <w:t>strongly supportive environment for arbitration</w:t>
      </w:r>
      <w:r w:rsidR="00A12251" w:rsidRPr="002F0BFE">
        <w:rPr>
          <w:rFonts w:cs="Arial"/>
          <w:sz w:val="24"/>
          <w:szCs w:val="24"/>
        </w:rPr>
        <w:t xml:space="preserve">. The </w:t>
      </w:r>
      <w:r w:rsidR="00A12251" w:rsidRPr="002F0BFE">
        <w:rPr>
          <w:rFonts w:cs="Arial"/>
          <w:i/>
          <w:sz w:val="24"/>
          <w:szCs w:val="24"/>
        </w:rPr>
        <w:t xml:space="preserve">International Arbitration Act </w:t>
      </w:r>
      <w:r w:rsidR="00A12251" w:rsidRPr="002F0BFE">
        <w:rPr>
          <w:rFonts w:cs="Arial"/>
          <w:sz w:val="24"/>
          <w:szCs w:val="24"/>
        </w:rPr>
        <w:t xml:space="preserve">supplements </w:t>
      </w:r>
      <w:r w:rsidR="00124C5D" w:rsidRPr="002F0BFE">
        <w:rPr>
          <w:rFonts w:cs="Arial"/>
          <w:sz w:val="24"/>
          <w:szCs w:val="24"/>
        </w:rPr>
        <w:t xml:space="preserve">and goes even beyond </w:t>
      </w:r>
      <w:r w:rsidR="00A12251" w:rsidRPr="002F0BFE">
        <w:rPr>
          <w:rFonts w:cs="Arial"/>
          <w:sz w:val="24"/>
          <w:szCs w:val="24"/>
        </w:rPr>
        <w:t xml:space="preserve">the </w:t>
      </w:r>
      <w:r w:rsidR="00A12251" w:rsidRPr="002F0BFE">
        <w:rPr>
          <w:rFonts w:cs="Arial"/>
          <w:i/>
          <w:sz w:val="24"/>
          <w:szCs w:val="24"/>
        </w:rPr>
        <w:t>Model Law</w:t>
      </w:r>
      <w:r w:rsidR="00A12251" w:rsidRPr="002F0BFE">
        <w:rPr>
          <w:rFonts w:cs="Arial"/>
          <w:sz w:val="24"/>
          <w:szCs w:val="24"/>
        </w:rPr>
        <w:t xml:space="preserve"> in </w:t>
      </w:r>
      <w:r w:rsidR="00696B5D" w:rsidRPr="002F0BFE">
        <w:rPr>
          <w:rFonts w:cs="Arial"/>
          <w:sz w:val="24"/>
          <w:szCs w:val="24"/>
        </w:rPr>
        <w:t>many</w:t>
      </w:r>
      <w:r w:rsidR="00A12251" w:rsidRPr="002F0BFE">
        <w:rPr>
          <w:rFonts w:cs="Arial"/>
          <w:sz w:val="24"/>
          <w:szCs w:val="24"/>
        </w:rPr>
        <w:t xml:space="preserve"> respects. Division 3, for example, contains several provisions that mandatorily apply on an 'opt out' basis that aim to improve the arbitral process.</w:t>
      </w:r>
      <w:r w:rsidR="00A12251" w:rsidRPr="002F0BFE">
        <w:rPr>
          <w:rStyle w:val="FootnoteReference"/>
          <w:rFonts w:cs="Arial"/>
          <w:sz w:val="24"/>
          <w:szCs w:val="24"/>
        </w:rPr>
        <w:footnoteReference w:id="29"/>
      </w:r>
      <w:r w:rsidR="00A12251" w:rsidRPr="002F0BFE">
        <w:rPr>
          <w:rFonts w:cs="Arial"/>
          <w:sz w:val="24"/>
          <w:szCs w:val="24"/>
        </w:rPr>
        <w:t xml:space="preserve"> These provisions allow parties to obtain subpoenas from the court,</w:t>
      </w:r>
      <w:r w:rsidR="00A12251" w:rsidRPr="002F0BFE">
        <w:rPr>
          <w:rStyle w:val="FootnoteReference"/>
          <w:rFonts w:cs="Arial"/>
          <w:sz w:val="24"/>
          <w:szCs w:val="24"/>
        </w:rPr>
        <w:footnoteReference w:id="30"/>
      </w:r>
      <w:r w:rsidR="00A12251" w:rsidRPr="002F0BFE">
        <w:rPr>
          <w:rFonts w:cs="Arial"/>
          <w:sz w:val="24"/>
          <w:szCs w:val="24"/>
        </w:rPr>
        <w:t xml:space="preserve"> apply to the court for orders compelling persons to attend examination before the arbitral tribunal,</w:t>
      </w:r>
      <w:r w:rsidR="00A12251" w:rsidRPr="002F0BFE">
        <w:rPr>
          <w:rStyle w:val="FootnoteReference"/>
          <w:rFonts w:cs="Arial"/>
          <w:sz w:val="24"/>
          <w:szCs w:val="24"/>
        </w:rPr>
        <w:footnoteReference w:id="31"/>
      </w:r>
      <w:r w:rsidR="00A12251" w:rsidRPr="002F0BFE">
        <w:rPr>
          <w:rFonts w:cs="Arial"/>
          <w:sz w:val="24"/>
          <w:szCs w:val="24"/>
        </w:rPr>
        <w:t xml:space="preserve"> and provide that confidentiality of information in proceedings must be observed.</w:t>
      </w:r>
      <w:r w:rsidR="00A12251" w:rsidRPr="002F0BFE">
        <w:rPr>
          <w:rStyle w:val="FootnoteReference"/>
          <w:rFonts w:cs="Arial"/>
          <w:sz w:val="24"/>
          <w:szCs w:val="24"/>
        </w:rPr>
        <w:footnoteReference w:id="32"/>
      </w:r>
      <w:r w:rsidR="00A12251" w:rsidRPr="002F0BFE">
        <w:rPr>
          <w:rFonts w:cs="Arial"/>
          <w:sz w:val="24"/>
          <w:szCs w:val="24"/>
        </w:rPr>
        <w:t xml:space="preserve"> They also </w:t>
      </w:r>
      <w:r w:rsidR="00AC234B" w:rsidRPr="002F0BFE">
        <w:rPr>
          <w:rFonts w:cs="Arial"/>
          <w:sz w:val="24"/>
          <w:szCs w:val="24"/>
        </w:rPr>
        <w:t>give</w:t>
      </w:r>
      <w:r w:rsidR="00A12251" w:rsidRPr="002F0BFE">
        <w:rPr>
          <w:rFonts w:cs="Arial"/>
          <w:sz w:val="24"/>
          <w:szCs w:val="24"/>
        </w:rPr>
        <w:t xml:space="preserve"> tribunals </w:t>
      </w:r>
      <w:r w:rsidR="00AC234B" w:rsidRPr="002F0BFE">
        <w:rPr>
          <w:rFonts w:cs="Arial"/>
          <w:sz w:val="24"/>
          <w:szCs w:val="24"/>
        </w:rPr>
        <w:t>the power</w:t>
      </w:r>
      <w:r w:rsidR="00A12251" w:rsidRPr="002F0BFE">
        <w:rPr>
          <w:rFonts w:cs="Arial"/>
          <w:sz w:val="24"/>
          <w:szCs w:val="24"/>
        </w:rPr>
        <w:t xml:space="preserve"> to continue proceedings and make an award where a party fails to assist the tribunal after being ordered to do so,</w:t>
      </w:r>
      <w:r w:rsidR="00A12251" w:rsidRPr="002F0BFE">
        <w:rPr>
          <w:rStyle w:val="FootnoteReference"/>
          <w:rFonts w:cs="Arial"/>
          <w:sz w:val="24"/>
          <w:szCs w:val="24"/>
        </w:rPr>
        <w:footnoteReference w:id="33"/>
      </w:r>
      <w:r w:rsidR="00A12251" w:rsidRPr="002F0BFE">
        <w:rPr>
          <w:rFonts w:cs="Arial"/>
          <w:sz w:val="24"/>
          <w:szCs w:val="24"/>
        </w:rPr>
        <w:t xml:space="preserve"> the power to order a party to provide security for costs,</w:t>
      </w:r>
      <w:r w:rsidR="00A12251" w:rsidRPr="002F0BFE">
        <w:rPr>
          <w:rStyle w:val="FootnoteReference"/>
          <w:rFonts w:cs="Arial"/>
          <w:sz w:val="24"/>
          <w:szCs w:val="24"/>
        </w:rPr>
        <w:footnoteReference w:id="34"/>
      </w:r>
      <w:r w:rsidR="00A12251" w:rsidRPr="002F0BFE">
        <w:rPr>
          <w:rFonts w:cs="Arial"/>
          <w:sz w:val="24"/>
          <w:szCs w:val="24"/>
        </w:rPr>
        <w:t xml:space="preserve"> to award interest up to the making of an award</w:t>
      </w:r>
      <w:r w:rsidR="00A12251" w:rsidRPr="002F0BFE">
        <w:rPr>
          <w:rStyle w:val="FootnoteReference"/>
          <w:rFonts w:cs="Arial"/>
          <w:sz w:val="24"/>
          <w:szCs w:val="24"/>
        </w:rPr>
        <w:footnoteReference w:id="35"/>
      </w:r>
      <w:r w:rsidR="00A12251" w:rsidRPr="002F0BFE">
        <w:rPr>
          <w:rFonts w:cs="Arial"/>
          <w:sz w:val="24"/>
          <w:szCs w:val="24"/>
        </w:rPr>
        <w:t xml:space="preserve"> and on award debts,</w:t>
      </w:r>
      <w:r w:rsidR="00A12251" w:rsidRPr="002F0BFE">
        <w:rPr>
          <w:rStyle w:val="FootnoteReference"/>
          <w:rFonts w:cs="Arial"/>
          <w:sz w:val="24"/>
          <w:szCs w:val="24"/>
        </w:rPr>
        <w:footnoteReference w:id="36"/>
      </w:r>
      <w:r w:rsidR="00A12251" w:rsidRPr="002F0BFE">
        <w:rPr>
          <w:rFonts w:cs="Arial"/>
          <w:sz w:val="24"/>
          <w:szCs w:val="24"/>
        </w:rPr>
        <w:t xml:space="preserve"> and to award costs with orders in respect of their taxation.</w:t>
      </w:r>
      <w:r w:rsidR="00A12251" w:rsidRPr="002F0BFE">
        <w:rPr>
          <w:rStyle w:val="FootnoteReference"/>
          <w:rFonts w:cs="Arial"/>
          <w:sz w:val="24"/>
          <w:szCs w:val="24"/>
        </w:rPr>
        <w:footnoteReference w:id="37"/>
      </w:r>
      <w:r w:rsidR="00A12251" w:rsidRPr="002F0BFE">
        <w:rPr>
          <w:rFonts w:cs="Arial"/>
          <w:sz w:val="24"/>
          <w:szCs w:val="24"/>
        </w:rPr>
        <w:t xml:space="preserve"> A very robust and detailed provision dealing with the consolidation of proceedings applies on an 'opt in' basis,</w:t>
      </w:r>
      <w:r w:rsidR="00A12251" w:rsidRPr="002F0BFE">
        <w:rPr>
          <w:rStyle w:val="FootnoteReference"/>
          <w:rFonts w:cs="Arial"/>
          <w:sz w:val="24"/>
          <w:szCs w:val="24"/>
        </w:rPr>
        <w:footnoteReference w:id="38"/>
      </w:r>
      <w:r w:rsidR="00A12251" w:rsidRPr="002F0BFE">
        <w:rPr>
          <w:rFonts w:cs="Arial"/>
          <w:sz w:val="24"/>
          <w:szCs w:val="24"/>
        </w:rPr>
        <w:t xml:space="preserve"> providing multiple grounds which may give rise to a consolidation of proceedings or an alternative action,</w:t>
      </w:r>
      <w:r w:rsidR="00A12251" w:rsidRPr="002F0BFE">
        <w:rPr>
          <w:rStyle w:val="FootnoteReference"/>
          <w:rFonts w:cs="Arial"/>
          <w:sz w:val="24"/>
          <w:szCs w:val="24"/>
        </w:rPr>
        <w:footnoteReference w:id="39"/>
      </w:r>
      <w:r w:rsidR="00A12251" w:rsidRPr="002F0BFE">
        <w:rPr>
          <w:rFonts w:cs="Arial"/>
          <w:sz w:val="24"/>
          <w:szCs w:val="24"/>
        </w:rPr>
        <w:t xml:space="preserve"> such as a joint hearing</w:t>
      </w:r>
      <w:r w:rsidR="00A12251" w:rsidRPr="002F0BFE">
        <w:rPr>
          <w:rStyle w:val="FootnoteReference"/>
          <w:rFonts w:cs="Arial"/>
          <w:sz w:val="24"/>
          <w:szCs w:val="24"/>
        </w:rPr>
        <w:footnoteReference w:id="40"/>
      </w:r>
      <w:r w:rsidR="00A12251" w:rsidRPr="002F0BFE">
        <w:rPr>
          <w:rFonts w:cs="Arial"/>
          <w:sz w:val="24"/>
          <w:szCs w:val="24"/>
        </w:rPr>
        <w:t xml:space="preserve"> </w:t>
      </w:r>
      <w:r w:rsidR="00A12251" w:rsidRPr="002F0BFE">
        <w:rPr>
          <w:rFonts w:cs="Arial"/>
          <w:sz w:val="24"/>
          <w:szCs w:val="24"/>
        </w:rPr>
        <w:lastRenderedPageBreak/>
        <w:t>or stay of proceedings.</w:t>
      </w:r>
      <w:r w:rsidR="00A12251" w:rsidRPr="002F0BFE">
        <w:rPr>
          <w:rStyle w:val="FootnoteReference"/>
          <w:rFonts w:cs="Arial"/>
          <w:sz w:val="24"/>
          <w:szCs w:val="24"/>
        </w:rPr>
        <w:footnoteReference w:id="41"/>
      </w:r>
      <w:r w:rsidR="00A12251" w:rsidRPr="002F0BFE">
        <w:rPr>
          <w:rFonts w:cs="Arial"/>
          <w:sz w:val="24"/>
          <w:szCs w:val="24"/>
        </w:rPr>
        <w:t xml:space="preserve"> Importantly also, in my view, is that the</w:t>
      </w:r>
      <w:r w:rsidR="00A12251" w:rsidRPr="002F0BFE">
        <w:rPr>
          <w:rFonts w:cs="Arial"/>
          <w:i/>
          <w:sz w:val="24"/>
          <w:szCs w:val="24"/>
        </w:rPr>
        <w:t xml:space="preserve"> International Arbitration Act</w:t>
      </w:r>
      <w:r w:rsidR="00A12251" w:rsidRPr="002F0BFE">
        <w:rPr>
          <w:rFonts w:cs="Arial"/>
          <w:sz w:val="24"/>
          <w:szCs w:val="24"/>
        </w:rPr>
        <w:t xml:space="preserve"> </w:t>
      </w:r>
      <w:r w:rsidR="00AC234B" w:rsidRPr="002F0BFE">
        <w:rPr>
          <w:rFonts w:cs="Arial"/>
          <w:sz w:val="24"/>
          <w:szCs w:val="24"/>
        </w:rPr>
        <w:t xml:space="preserve">restricts </w:t>
      </w:r>
      <w:r w:rsidR="00A12251" w:rsidRPr="002F0BFE">
        <w:rPr>
          <w:rFonts w:cs="Arial"/>
          <w:sz w:val="24"/>
          <w:szCs w:val="24"/>
        </w:rPr>
        <w:t>the meaning of ‘public policy’ for the purpose of articles 34 and 36 of the Model Law to situations where the relevant interim measure or award was affected by fraud,</w:t>
      </w:r>
      <w:r w:rsidR="00A12251" w:rsidRPr="002F0BFE">
        <w:rPr>
          <w:rStyle w:val="FootnoteReference"/>
          <w:rFonts w:cs="Arial"/>
          <w:sz w:val="24"/>
          <w:szCs w:val="24"/>
        </w:rPr>
        <w:footnoteReference w:id="42"/>
      </w:r>
      <w:r w:rsidR="00A12251" w:rsidRPr="002F0BFE">
        <w:rPr>
          <w:rFonts w:cs="Arial"/>
          <w:sz w:val="24"/>
          <w:szCs w:val="24"/>
        </w:rPr>
        <w:t xml:space="preserve"> corruption,</w:t>
      </w:r>
      <w:r w:rsidR="00A12251" w:rsidRPr="002F0BFE">
        <w:rPr>
          <w:rStyle w:val="FootnoteReference"/>
          <w:rFonts w:cs="Arial"/>
          <w:sz w:val="24"/>
          <w:szCs w:val="24"/>
        </w:rPr>
        <w:footnoteReference w:id="43"/>
      </w:r>
      <w:r w:rsidR="00A12251" w:rsidRPr="002F0BFE">
        <w:rPr>
          <w:rFonts w:cs="Arial"/>
          <w:sz w:val="24"/>
          <w:szCs w:val="24"/>
        </w:rPr>
        <w:t xml:space="preserve"> or a breach of natural justice.</w:t>
      </w:r>
      <w:r w:rsidR="00A12251" w:rsidRPr="002F0BFE">
        <w:rPr>
          <w:rStyle w:val="FootnoteReference"/>
          <w:rFonts w:cs="Arial"/>
          <w:sz w:val="24"/>
          <w:szCs w:val="24"/>
        </w:rPr>
        <w:footnoteReference w:id="44"/>
      </w:r>
      <w:r w:rsidR="00A12251" w:rsidRPr="002F0BFE">
        <w:rPr>
          <w:rFonts w:cs="Arial"/>
          <w:sz w:val="24"/>
          <w:szCs w:val="24"/>
        </w:rPr>
        <w:t xml:space="preserve"> </w:t>
      </w:r>
    </w:p>
    <w:p w14:paraId="00B18B1D" w14:textId="77777777" w:rsidR="00A151AD" w:rsidRPr="002F0BFE" w:rsidRDefault="00A12251" w:rsidP="00A12251">
      <w:pPr>
        <w:spacing w:line="360" w:lineRule="auto"/>
        <w:jc w:val="both"/>
        <w:rPr>
          <w:rFonts w:cs="Arial"/>
          <w:sz w:val="24"/>
          <w:szCs w:val="24"/>
        </w:rPr>
      </w:pPr>
      <w:r w:rsidRPr="002F0BFE">
        <w:rPr>
          <w:rFonts w:cs="Arial"/>
          <w:sz w:val="24"/>
          <w:szCs w:val="24"/>
        </w:rPr>
        <w:t xml:space="preserve">Thus in review, arbitration legislation in Australia has clearly followed a narrative of pro-arbitration guided reform. This narrative, however, is not limited to legislation alone. </w:t>
      </w:r>
    </w:p>
    <w:p w14:paraId="48E4167A" w14:textId="713F1C69" w:rsidR="00A151AD" w:rsidRPr="002F0BFE" w:rsidRDefault="00A151AD" w:rsidP="00A151AD">
      <w:pPr>
        <w:pStyle w:val="Heading2"/>
        <w:rPr>
          <w:rFonts w:cs="Arial"/>
          <w:szCs w:val="24"/>
        </w:rPr>
      </w:pPr>
      <w:r w:rsidRPr="002F0BFE">
        <w:rPr>
          <w:rFonts w:cs="Arial"/>
          <w:szCs w:val="24"/>
        </w:rPr>
        <w:t xml:space="preserve">Judicial Support </w:t>
      </w:r>
    </w:p>
    <w:p w14:paraId="050DB842" w14:textId="436410D4" w:rsidR="00BD1932" w:rsidRPr="002F0BFE" w:rsidRDefault="00696B5D" w:rsidP="00BD1932">
      <w:pPr>
        <w:pStyle w:val="Heading3"/>
        <w:rPr>
          <w:i/>
          <w:sz w:val="24"/>
          <w:szCs w:val="24"/>
        </w:rPr>
      </w:pPr>
      <w:r w:rsidRPr="002F0BFE">
        <w:rPr>
          <w:i/>
          <w:sz w:val="24"/>
          <w:szCs w:val="24"/>
        </w:rPr>
        <w:t>Generally</w:t>
      </w:r>
    </w:p>
    <w:p w14:paraId="488D4F5D" w14:textId="25D422CA" w:rsidR="00A12251" w:rsidRPr="002F0BFE" w:rsidRDefault="00A12251" w:rsidP="00A12251">
      <w:pPr>
        <w:spacing w:line="360" w:lineRule="auto"/>
        <w:jc w:val="both"/>
        <w:rPr>
          <w:rFonts w:cs="Arial"/>
          <w:sz w:val="24"/>
          <w:szCs w:val="24"/>
        </w:rPr>
      </w:pPr>
      <w:r w:rsidRPr="002F0BFE">
        <w:rPr>
          <w:rFonts w:cs="Arial"/>
          <w:sz w:val="24"/>
          <w:szCs w:val="24"/>
        </w:rPr>
        <w:t>Australian state and federal courts have followed a similar arbitration friendly trajectory. The Supreme Court of NSW</w:t>
      </w:r>
      <w:r w:rsidR="001721A7" w:rsidRPr="002F0BFE">
        <w:rPr>
          <w:rFonts w:cs="Arial"/>
          <w:sz w:val="24"/>
          <w:szCs w:val="24"/>
        </w:rPr>
        <w:t xml:space="preserve"> has played a leading role in positive reform</w:t>
      </w:r>
      <w:r w:rsidRPr="002F0BFE">
        <w:rPr>
          <w:rFonts w:cs="Arial"/>
          <w:sz w:val="24"/>
          <w:szCs w:val="24"/>
        </w:rPr>
        <w:t xml:space="preserve">. </w:t>
      </w:r>
      <w:r w:rsidR="00AC234B" w:rsidRPr="002F0BFE">
        <w:rPr>
          <w:rFonts w:cs="Arial"/>
          <w:sz w:val="24"/>
          <w:szCs w:val="24"/>
        </w:rPr>
        <w:t>T</w:t>
      </w:r>
      <w:r w:rsidRPr="002F0BFE">
        <w:rPr>
          <w:rFonts w:cs="Arial"/>
          <w:sz w:val="24"/>
          <w:szCs w:val="24"/>
        </w:rPr>
        <w:t>he Court champion</w:t>
      </w:r>
      <w:r w:rsidR="00AC234B" w:rsidRPr="002F0BFE">
        <w:rPr>
          <w:rFonts w:cs="Arial"/>
          <w:sz w:val="24"/>
          <w:szCs w:val="24"/>
        </w:rPr>
        <w:t>ed</w:t>
      </w:r>
      <w:r w:rsidRPr="002F0BFE">
        <w:rPr>
          <w:rFonts w:cs="Arial"/>
          <w:sz w:val="24"/>
          <w:szCs w:val="24"/>
        </w:rPr>
        <w:t xml:space="preserve"> reform to the </w:t>
      </w:r>
      <w:r w:rsidRPr="002F0BFE">
        <w:rPr>
          <w:rFonts w:cs="Arial"/>
          <w:i/>
          <w:sz w:val="24"/>
          <w:szCs w:val="24"/>
        </w:rPr>
        <w:t>Uniform Commercial Arbitration Acts,</w:t>
      </w:r>
      <w:r w:rsidRPr="002F0BFE">
        <w:rPr>
          <w:rFonts w:cs="Arial"/>
          <w:sz w:val="24"/>
          <w:szCs w:val="24"/>
        </w:rPr>
        <w:t xml:space="preserve"> </w:t>
      </w:r>
      <w:r w:rsidR="00AC234B" w:rsidRPr="002F0BFE">
        <w:rPr>
          <w:rFonts w:cs="Arial"/>
          <w:sz w:val="24"/>
          <w:szCs w:val="24"/>
        </w:rPr>
        <w:t>and it</w:t>
      </w:r>
      <w:r w:rsidRPr="002F0BFE">
        <w:rPr>
          <w:rFonts w:cs="Arial"/>
          <w:sz w:val="24"/>
          <w:szCs w:val="24"/>
        </w:rPr>
        <w:t xml:space="preserve"> has jurisdiction to deal with all arbitration matters, international and domestic, offer</w:t>
      </w:r>
      <w:r w:rsidR="00AC234B" w:rsidRPr="002F0BFE">
        <w:rPr>
          <w:rFonts w:cs="Arial"/>
          <w:sz w:val="24"/>
          <w:szCs w:val="24"/>
        </w:rPr>
        <w:t>ing</w:t>
      </w:r>
      <w:r w:rsidRPr="002F0BFE">
        <w:rPr>
          <w:rFonts w:cs="Arial"/>
          <w:sz w:val="24"/>
          <w:szCs w:val="24"/>
        </w:rPr>
        <w:t xml:space="preserve"> parties a specialist Commercial Arbitration List in its Equity Division. This specialist list assures parties that their commercial arbitration matters will be dealt with efficiently and fairly by arbitration-experienced Judges. The Victorian Supreme Court offers a similarly specialised practice through its Arbitration List in the Commercial Court. </w:t>
      </w:r>
    </w:p>
    <w:p w14:paraId="26723507" w14:textId="56476F2E" w:rsidR="00A12251" w:rsidRPr="002F0BFE" w:rsidRDefault="00BD1932" w:rsidP="00A12251">
      <w:pPr>
        <w:spacing w:line="360" w:lineRule="auto"/>
        <w:jc w:val="both"/>
        <w:rPr>
          <w:rFonts w:cs="Arial"/>
          <w:sz w:val="24"/>
          <w:szCs w:val="24"/>
        </w:rPr>
      </w:pPr>
      <w:r w:rsidRPr="002F0BFE">
        <w:rPr>
          <w:rFonts w:cs="Arial"/>
          <w:sz w:val="24"/>
          <w:szCs w:val="24"/>
        </w:rPr>
        <w:t>Extra-</w:t>
      </w:r>
      <w:proofErr w:type="spellStart"/>
      <w:r w:rsidRPr="002F0BFE">
        <w:rPr>
          <w:rFonts w:cs="Arial"/>
          <w:sz w:val="24"/>
          <w:szCs w:val="24"/>
        </w:rPr>
        <w:t>curially</w:t>
      </w:r>
      <w:proofErr w:type="spellEnd"/>
      <w:r w:rsidRPr="002F0BFE">
        <w:rPr>
          <w:rFonts w:cs="Arial"/>
          <w:sz w:val="24"/>
          <w:szCs w:val="24"/>
        </w:rPr>
        <w:t xml:space="preserve">, senior Australian judges consistently note increasing judicial support </w:t>
      </w:r>
      <w:r w:rsidR="00AC234B" w:rsidRPr="002F0BFE">
        <w:rPr>
          <w:rFonts w:cs="Arial"/>
          <w:sz w:val="24"/>
          <w:szCs w:val="24"/>
        </w:rPr>
        <w:t>for</w:t>
      </w:r>
      <w:r w:rsidRPr="002F0BFE">
        <w:rPr>
          <w:rFonts w:cs="Arial"/>
          <w:sz w:val="24"/>
          <w:szCs w:val="24"/>
        </w:rPr>
        <w:t xml:space="preserve"> arbitration. The </w:t>
      </w:r>
      <w:proofErr w:type="spellStart"/>
      <w:r w:rsidRPr="002F0BFE">
        <w:rPr>
          <w:rFonts w:cs="Arial"/>
          <w:sz w:val="24"/>
          <w:szCs w:val="24"/>
        </w:rPr>
        <w:t>Hon</w:t>
      </w:r>
      <w:proofErr w:type="spellEnd"/>
      <w:r w:rsidRPr="002F0BFE">
        <w:rPr>
          <w:rFonts w:cs="Arial"/>
          <w:sz w:val="24"/>
          <w:szCs w:val="24"/>
        </w:rPr>
        <w:t xml:space="preserve"> James </w:t>
      </w:r>
      <w:proofErr w:type="spellStart"/>
      <w:r w:rsidRPr="002F0BFE">
        <w:rPr>
          <w:rFonts w:cs="Arial"/>
          <w:sz w:val="24"/>
          <w:szCs w:val="24"/>
        </w:rPr>
        <w:t>Spigelman</w:t>
      </w:r>
      <w:proofErr w:type="spellEnd"/>
      <w:r w:rsidRPr="002F0BFE">
        <w:rPr>
          <w:rFonts w:cs="Arial"/>
          <w:sz w:val="24"/>
          <w:szCs w:val="24"/>
        </w:rPr>
        <w:t xml:space="preserve"> AC wrote,</w:t>
      </w:r>
      <w:r w:rsidR="00A12251" w:rsidRPr="002F0BFE">
        <w:rPr>
          <w:rFonts w:cs="Arial"/>
          <w:sz w:val="24"/>
          <w:szCs w:val="24"/>
        </w:rPr>
        <w:t xml:space="preserve"> </w:t>
      </w:r>
      <w:r w:rsidRPr="002F0BFE">
        <w:rPr>
          <w:rFonts w:cs="Arial"/>
          <w:sz w:val="24"/>
          <w:szCs w:val="24"/>
        </w:rPr>
        <w:t>in his time as Chief Justice of NSW, that</w:t>
      </w:r>
      <w:r w:rsidR="00A12251" w:rsidRPr="002F0BFE">
        <w:rPr>
          <w:rFonts w:cs="Arial"/>
          <w:sz w:val="24"/>
          <w:szCs w:val="24"/>
        </w:rPr>
        <w:t xml:space="preserve">: </w:t>
      </w:r>
    </w:p>
    <w:p w14:paraId="06690B36" w14:textId="77777777" w:rsidR="00A12251" w:rsidRPr="002F0BFE" w:rsidRDefault="00A12251" w:rsidP="00A12251">
      <w:pPr>
        <w:spacing w:line="360" w:lineRule="auto"/>
        <w:ind w:left="964"/>
        <w:jc w:val="both"/>
        <w:rPr>
          <w:rFonts w:cs="Arial"/>
          <w:sz w:val="24"/>
          <w:szCs w:val="24"/>
        </w:rPr>
      </w:pPr>
      <w:r w:rsidRPr="002F0BFE">
        <w:rPr>
          <w:rFonts w:cs="Arial"/>
          <w:sz w:val="24"/>
          <w:szCs w:val="24"/>
        </w:rPr>
        <w:t>…the longstanding tension between judges and arbitrators has disappeared. Most judges no longer consider arbitration as some kind of trade rival. Courts now generally exercise their statutory powers with respect to commercial arbitration by a light touch of supervisory jurisdiction directed to maintaining the integrity of the system.</w:t>
      </w:r>
      <w:r w:rsidRPr="002F0BFE">
        <w:rPr>
          <w:rStyle w:val="FootnoteReference"/>
          <w:rFonts w:cs="Arial"/>
          <w:sz w:val="24"/>
          <w:szCs w:val="24"/>
        </w:rPr>
        <w:footnoteReference w:id="45"/>
      </w:r>
      <w:r w:rsidRPr="002F0BFE">
        <w:rPr>
          <w:rFonts w:cs="Arial"/>
          <w:sz w:val="24"/>
          <w:szCs w:val="24"/>
        </w:rPr>
        <w:t xml:space="preserve"> </w:t>
      </w:r>
    </w:p>
    <w:p w14:paraId="52E36879" w14:textId="50052A42" w:rsidR="00BD1932" w:rsidRPr="002F0BFE" w:rsidRDefault="00BD1932" w:rsidP="00BD1932">
      <w:pPr>
        <w:spacing w:line="360" w:lineRule="auto"/>
        <w:jc w:val="both"/>
        <w:rPr>
          <w:rFonts w:cs="Arial"/>
          <w:sz w:val="24"/>
          <w:szCs w:val="24"/>
        </w:rPr>
      </w:pPr>
      <w:r w:rsidRPr="002F0BFE">
        <w:rPr>
          <w:rFonts w:cs="Arial"/>
          <w:sz w:val="24"/>
          <w:szCs w:val="24"/>
        </w:rPr>
        <w:lastRenderedPageBreak/>
        <w:t xml:space="preserve">His successor, The </w:t>
      </w:r>
      <w:proofErr w:type="spellStart"/>
      <w:r w:rsidRPr="002F0BFE">
        <w:rPr>
          <w:rFonts w:cs="Arial"/>
          <w:sz w:val="24"/>
          <w:szCs w:val="24"/>
        </w:rPr>
        <w:t>Hon</w:t>
      </w:r>
      <w:proofErr w:type="spellEnd"/>
      <w:r w:rsidRPr="002F0BFE">
        <w:rPr>
          <w:rFonts w:cs="Arial"/>
          <w:sz w:val="24"/>
          <w:szCs w:val="24"/>
        </w:rPr>
        <w:t xml:space="preserve"> Thomas Bathurst AC, noted the same in his opening address to the </w:t>
      </w:r>
      <w:r w:rsidRPr="002F0BFE">
        <w:rPr>
          <w:rFonts w:cs="Arial"/>
          <w:i/>
          <w:sz w:val="24"/>
          <w:szCs w:val="24"/>
        </w:rPr>
        <w:t xml:space="preserve">4th International Arbitration Conference </w:t>
      </w:r>
      <w:r w:rsidRPr="002F0BFE">
        <w:rPr>
          <w:rFonts w:cs="Arial"/>
          <w:sz w:val="24"/>
          <w:szCs w:val="24"/>
        </w:rPr>
        <w:t>just last year.</w:t>
      </w:r>
      <w:r w:rsidRPr="002F0BFE">
        <w:rPr>
          <w:rStyle w:val="FootnoteReference"/>
          <w:rFonts w:cs="Arial"/>
          <w:sz w:val="24"/>
          <w:szCs w:val="24"/>
        </w:rPr>
        <w:t xml:space="preserve"> </w:t>
      </w:r>
      <w:r w:rsidRPr="002F0BFE">
        <w:rPr>
          <w:rStyle w:val="FootnoteReference"/>
          <w:rFonts w:cs="Arial"/>
          <w:sz w:val="24"/>
          <w:szCs w:val="24"/>
        </w:rPr>
        <w:footnoteReference w:id="46"/>
      </w:r>
    </w:p>
    <w:p w14:paraId="06DFDCE7" w14:textId="7A6C2798" w:rsidR="00A12251" w:rsidRPr="002F0BFE" w:rsidRDefault="00B2072B" w:rsidP="00A12251">
      <w:pPr>
        <w:spacing w:line="360" w:lineRule="auto"/>
        <w:jc w:val="both"/>
        <w:rPr>
          <w:rFonts w:cs="Arial"/>
          <w:sz w:val="24"/>
          <w:szCs w:val="24"/>
        </w:rPr>
      </w:pPr>
      <w:r w:rsidRPr="002F0BFE">
        <w:rPr>
          <w:rFonts w:cs="Arial"/>
          <w:sz w:val="24"/>
          <w:szCs w:val="24"/>
        </w:rPr>
        <w:t xml:space="preserve">The </w:t>
      </w:r>
      <w:proofErr w:type="spellStart"/>
      <w:r w:rsidRPr="002F0BFE">
        <w:rPr>
          <w:rFonts w:cs="Arial"/>
          <w:sz w:val="24"/>
          <w:szCs w:val="24"/>
        </w:rPr>
        <w:t>Hon</w:t>
      </w:r>
      <w:proofErr w:type="spellEnd"/>
      <w:r w:rsidRPr="002F0BFE">
        <w:rPr>
          <w:rFonts w:cs="Arial"/>
          <w:sz w:val="24"/>
          <w:szCs w:val="24"/>
        </w:rPr>
        <w:t xml:space="preserve"> James </w:t>
      </w:r>
      <w:proofErr w:type="spellStart"/>
      <w:r w:rsidRPr="002F0BFE">
        <w:rPr>
          <w:rFonts w:cs="Arial"/>
          <w:sz w:val="24"/>
          <w:szCs w:val="24"/>
        </w:rPr>
        <w:t>Allsop</w:t>
      </w:r>
      <w:proofErr w:type="spellEnd"/>
      <w:r w:rsidRPr="002F0BFE">
        <w:rPr>
          <w:rFonts w:cs="Arial"/>
          <w:sz w:val="24"/>
          <w:szCs w:val="24"/>
        </w:rPr>
        <w:t xml:space="preserve"> AO, in his capacity as then </w:t>
      </w:r>
      <w:r w:rsidR="00A12251" w:rsidRPr="002F0BFE">
        <w:rPr>
          <w:rFonts w:cs="Arial"/>
          <w:sz w:val="24"/>
          <w:szCs w:val="24"/>
        </w:rPr>
        <w:t xml:space="preserve">President of the NSW Court of Appeal, noted at the 2011 Chartered Institute of Arbitrators Asia Pacific Conference that: </w:t>
      </w:r>
    </w:p>
    <w:p w14:paraId="552A4BEE" w14:textId="77777777" w:rsidR="00A12251" w:rsidRPr="002F0BFE" w:rsidRDefault="00A12251" w:rsidP="00A12251">
      <w:pPr>
        <w:spacing w:line="360" w:lineRule="auto"/>
        <w:ind w:left="964"/>
        <w:jc w:val="both"/>
        <w:rPr>
          <w:rFonts w:cs="Arial"/>
          <w:sz w:val="24"/>
          <w:szCs w:val="24"/>
        </w:rPr>
      </w:pPr>
      <w:r w:rsidRPr="002F0BFE">
        <w:rPr>
          <w:rFonts w:cs="Arial"/>
          <w:color w:val="000000"/>
          <w:sz w:val="24"/>
          <w:szCs w:val="24"/>
          <w:shd w:val="clear" w:color="auto" w:fill="FFFFFF"/>
        </w:rPr>
        <w:t>The clear trend in judicial decision-making about arbitration in Australia [has transformed] from suspicion, to respect and support…In terms of intervention [by the judiciary], restraint is essential. Arbitration depends for its success on the informed and sympathetic attitude of the courts.</w:t>
      </w:r>
      <w:r w:rsidRPr="002F0BFE">
        <w:rPr>
          <w:rStyle w:val="FootnoteReference"/>
          <w:rFonts w:cs="Arial"/>
          <w:color w:val="000000"/>
          <w:sz w:val="24"/>
          <w:szCs w:val="24"/>
          <w:shd w:val="clear" w:color="auto" w:fill="FFFFFF"/>
        </w:rPr>
        <w:footnoteReference w:id="47"/>
      </w:r>
    </w:p>
    <w:p w14:paraId="6AEA7A7F" w14:textId="2E1D6248" w:rsidR="00154C16" w:rsidRPr="002F0BFE" w:rsidRDefault="00A12251" w:rsidP="00154C16">
      <w:pPr>
        <w:spacing w:line="360" w:lineRule="auto"/>
        <w:jc w:val="both"/>
        <w:rPr>
          <w:rFonts w:cs="Arial"/>
          <w:sz w:val="24"/>
          <w:szCs w:val="24"/>
        </w:rPr>
      </w:pPr>
      <w:r w:rsidRPr="002F0BFE">
        <w:rPr>
          <w:rFonts w:cs="Arial"/>
          <w:sz w:val="24"/>
          <w:szCs w:val="24"/>
        </w:rPr>
        <w:t xml:space="preserve">Justice </w:t>
      </w:r>
      <w:proofErr w:type="spellStart"/>
      <w:r w:rsidRPr="002F0BFE">
        <w:rPr>
          <w:rFonts w:cs="Arial"/>
          <w:sz w:val="24"/>
          <w:szCs w:val="24"/>
        </w:rPr>
        <w:t>Allsop</w:t>
      </w:r>
      <w:proofErr w:type="spellEnd"/>
      <w:r w:rsidRPr="002F0BFE">
        <w:rPr>
          <w:rFonts w:cs="Arial"/>
          <w:sz w:val="24"/>
          <w:szCs w:val="24"/>
        </w:rPr>
        <w:t xml:space="preserve"> is now Chief Justice of the Federal Court of Australia, a Court which has had </w:t>
      </w:r>
      <w:r w:rsidR="001721A7" w:rsidRPr="002F0BFE">
        <w:rPr>
          <w:rFonts w:cs="Arial"/>
          <w:sz w:val="24"/>
          <w:szCs w:val="24"/>
        </w:rPr>
        <w:t xml:space="preserve">extensive </w:t>
      </w:r>
      <w:r w:rsidRPr="002F0BFE">
        <w:rPr>
          <w:rFonts w:cs="Arial"/>
          <w:sz w:val="24"/>
          <w:szCs w:val="24"/>
        </w:rPr>
        <w:t>involvement in the promotion and support of arbitration for some time both prior to and during his tenure</w:t>
      </w:r>
      <w:r w:rsidR="00BD1932" w:rsidRPr="002F0BFE">
        <w:rPr>
          <w:rFonts w:cs="Arial"/>
          <w:sz w:val="24"/>
          <w:szCs w:val="24"/>
        </w:rPr>
        <w:t>.</w:t>
      </w:r>
      <w:r w:rsidRPr="002F0BFE">
        <w:rPr>
          <w:rFonts w:cs="Arial"/>
          <w:sz w:val="24"/>
          <w:szCs w:val="24"/>
        </w:rPr>
        <w:t xml:space="preserve"> </w:t>
      </w:r>
      <w:r w:rsidR="00BD1932" w:rsidRPr="002F0BFE">
        <w:rPr>
          <w:rFonts w:cs="Arial"/>
          <w:sz w:val="24"/>
          <w:szCs w:val="24"/>
        </w:rPr>
        <w:t>F</w:t>
      </w:r>
      <w:r w:rsidRPr="002F0BFE">
        <w:rPr>
          <w:rFonts w:cs="Arial"/>
          <w:sz w:val="24"/>
          <w:szCs w:val="24"/>
        </w:rPr>
        <w:t xml:space="preserve">or </w:t>
      </w:r>
      <w:r w:rsidR="00154C16" w:rsidRPr="002F0BFE">
        <w:rPr>
          <w:rFonts w:cs="Arial"/>
          <w:sz w:val="24"/>
          <w:szCs w:val="24"/>
        </w:rPr>
        <w:t>instance</w:t>
      </w:r>
      <w:r w:rsidR="00BD1932" w:rsidRPr="002F0BFE">
        <w:rPr>
          <w:rFonts w:cs="Arial"/>
          <w:sz w:val="24"/>
          <w:szCs w:val="24"/>
        </w:rPr>
        <w:t>,</w:t>
      </w:r>
      <w:r w:rsidRPr="002F0BFE">
        <w:rPr>
          <w:rFonts w:cs="Arial"/>
          <w:sz w:val="24"/>
          <w:szCs w:val="24"/>
        </w:rPr>
        <w:t xml:space="preserve"> </w:t>
      </w:r>
      <w:r w:rsidR="00BD1932" w:rsidRPr="002F0BFE">
        <w:rPr>
          <w:rFonts w:cs="Arial"/>
          <w:sz w:val="24"/>
          <w:szCs w:val="24"/>
        </w:rPr>
        <w:t>the Court encourages parties to include</w:t>
      </w:r>
      <w:r w:rsidRPr="002F0BFE">
        <w:rPr>
          <w:rFonts w:cs="Arial"/>
          <w:sz w:val="24"/>
          <w:szCs w:val="24"/>
        </w:rPr>
        <w:t xml:space="preserve"> 'pre-litigation protocols' in contracts </w:t>
      </w:r>
      <w:r w:rsidR="00BD1932" w:rsidRPr="002F0BFE">
        <w:rPr>
          <w:rFonts w:cs="Arial"/>
          <w:sz w:val="24"/>
          <w:szCs w:val="24"/>
        </w:rPr>
        <w:t>that direct</w:t>
      </w:r>
      <w:r w:rsidRPr="002F0BFE">
        <w:rPr>
          <w:rFonts w:cs="Arial"/>
          <w:sz w:val="24"/>
          <w:szCs w:val="24"/>
        </w:rPr>
        <w:t xml:space="preserve"> parties to arbitration </w:t>
      </w:r>
      <w:r w:rsidR="00BD1932" w:rsidRPr="002F0BFE">
        <w:rPr>
          <w:rFonts w:cs="Arial"/>
          <w:sz w:val="24"/>
          <w:szCs w:val="24"/>
        </w:rPr>
        <w:t>or</w:t>
      </w:r>
      <w:r w:rsidRPr="002F0BFE">
        <w:rPr>
          <w:rFonts w:cs="Arial"/>
          <w:sz w:val="24"/>
          <w:szCs w:val="24"/>
        </w:rPr>
        <w:t xml:space="preserve"> other forms of alternative dispute resolution. </w:t>
      </w:r>
      <w:r w:rsidR="00154C16" w:rsidRPr="002F0BFE">
        <w:rPr>
          <w:rFonts w:cs="Arial"/>
          <w:sz w:val="24"/>
          <w:szCs w:val="24"/>
        </w:rPr>
        <w:t xml:space="preserve">And Justice </w:t>
      </w:r>
      <w:r w:rsidR="004B088E" w:rsidRPr="002F0BFE">
        <w:rPr>
          <w:rFonts w:cs="Arial"/>
          <w:sz w:val="24"/>
          <w:szCs w:val="24"/>
        </w:rPr>
        <w:t xml:space="preserve">Lesley </w:t>
      </w:r>
      <w:r w:rsidR="00154C16" w:rsidRPr="002F0BFE">
        <w:rPr>
          <w:rFonts w:cs="Arial"/>
          <w:sz w:val="24"/>
          <w:szCs w:val="24"/>
        </w:rPr>
        <w:t xml:space="preserve">Foster in the Federal Court case of </w:t>
      </w:r>
      <w:r w:rsidR="00154C16" w:rsidRPr="002F0BFE">
        <w:rPr>
          <w:rFonts w:cs="Arial"/>
          <w:i/>
          <w:sz w:val="24"/>
          <w:szCs w:val="24"/>
        </w:rPr>
        <w:t>Uganda Telecom v Hi-Tech Telecom</w:t>
      </w:r>
      <w:r w:rsidR="00154C16" w:rsidRPr="002F0BFE">
        <w:rPr>
          <w:rStyle w:val="FootnoteReference"/>
          <w:rFonts w:cs="Arial"/>
          <w:i/>
          <w:sz w:val="24"/>
          <w:szCs w:val="24"/>
        </w:rPr>
        <w:footnoteReference w:id="48"/>
      </w:r>
      <w:r w:rsidR="00154C16" w:rsidRPr="002F0BFE">
        <w:rPr>
          <w:rFonts w:cs="Arial"/>
          <w:i/>
          <w:sz w:val="24"/>
          <w:szCs w:val="24"/>
        </w:rPr>
        <w:t xml:space="preserve"> </w:t>
      </w:r>
      <w:r w:rsidR="00154C16" w:rsidRPr="002F0BFE">
        <w:rPr>
          <w:rFonts w:cs="Arial"/>
          <w:sz w:val="24"/>
          <w:szCs w:val="24"/>
        </w:rPr>
        <w:t xml:space="preserve">delivered this passage in support of international arbitration in Australia: </w:t>
      </w:r>
    </w:p>
    <w:p w14:paraId="406A4403" w14:textId="282D99C5" w:rsidR="00154C16" w:rsidRPr="002F0BFE" w:rsidRDefault="00154C16" w:rsidP="00154C16">
      <w:pPr>
        <w:spacing w:line="360" w:lineRule="auto"/>
        <w:ind w:left="964"/>
        <w:jc w:val="both"/>
        <w:rPr>
          <w:rFonts w:cs="Arial"/>
          <w:sz w:val="24"/>
          <w:szCs w:val="24"/>
        </w:rPr>
      </w:pPr>
      <w:r w:rsidRPr="002F0BFE">
        <w:rPr>
          <w:rFonts w:cs="Arial"/>
          <w:sz w:val="24"/>
          <w:szCs w:val="24"/>
        </w:rPr>
        <w:t>The whole rationale of the [International Arbitration] Act, and thus the public policy of Australia, is to enforce such awards wherever possible in order to uphold contractual arrangements entered into in the course of international trade, in order to support certainty and finality in international dispute resolution…</w:t>
      </w:r>
      <w:r w:rsidRPr="002F0BFE">
        <w:rPr>
          <w:rStyle w:val="FootnoteReference"/>
          <w:rFonts w:cs="Arial"/>
          <w:sz w:val="24"/>
          <w:szCs w:val="24"/>
        </w:rPr>
        <w:footnoteReference w:id="49"/>
      </w:r>
    </w:p>
    <w:p w14:paraId="2237DB1F" w14:textId="36661600" w:rsidR="00B2072B" w:rsidRPr="002F0BFE" w:rsidRDefault="00154089" w:rsidP="00B2072B">
      <w:pPr>
        <w:pStyle w:val="Heading3"/>
        <w:rPr>
          <w:sz w:val="24"/>
          <w:szCs w:val="24"/>
        </w:rPr>
      </w:pPr>
      <w:r w:rsidRPr="002F0BFE">
        <w:rPr>
          <w:i/>
          <w:sz w:val="24"/>
          <w:szCs w:val="24"/>
        </w:rPr>
        <w:t>Enforcement</w:t>
      </w:r>
      <w:r w:rsidR="00B2072B" w:rsidRPr="002F0BFE">
        <w:rPr>
          <w:i/>
          <w:sz w:val="24"/>
          <w:szCs w:val="24"/>
        </w:rPr>
        <w:t xml:space="preserve"> - TCL in the HCA </w:t>
      </w:r>
    </w:p>
    <w:p w14:paraId="3C0990F7" w14:textId="6D2E5990" w:rsidR="00A12251" w:rsidRPr="002F0BFE" w:rsidRDefault="00A12251" w:rsidP="00A12251">
      <w:pPr>
        <w:spacing w:line="360" w:lineRule="auto"/>
        <w:jc w:val="both"/>
        <w:rPr>
          <w:rFonts w:cs="Arial"/>
          <w:sz w:val="24"/>
          <w:szCs w:val="24"/>
        </w:rPr>
      </w:pPr>
      <w:r w:rsidRPr="002F0BFE">
        <w:rPr>
          <w:rFonts w:cs="Arial"/>
          <w:sz w:val="24"/>
          <w:szCs w:val="24"/>
        </w:rPr>
        <w:t xml:space="preserve">As practitioners, we understand that </w:t>
      </w:r>
      <w:r w:rsidR="001721A7" w:rsidRPr="002F0BFE">
        <w:rPr>
          <w:rFonts w:cs="Arial"/>
          <w:sz w:val="24"/>
          <w:szCs w:val="24"/>
        </w:rPr>
        <w:t xml:space="preserve">critical to the success of arbitration </w:t>
      </w:r>
      <w:r w:rsidR="00A000E9" w:rsidRPr="002F0BFE">
        <w:rPr>
          <w:rFonts w:cs="Arial"/>
          <w:sz w:val="24"/>
          <w:szCs w:val="24"/>
        </w:rPr>
        <w:t>is</w:t>
      </w:r>
      <w:r w:rsidR="001721A7" w:rsidRPr="002F0BFE">
        <w:rPr>
          <w:rFonts w:cs="Arial"/>
          <w:sz w:val="24"/>
          <w:szCs w:val="24"/>
        </w:rPr>
        <w:t xml:space="preserve"> a respect for the </w:t>
      </w:r>
      <w:r w:rsidR="00124C5D" w:rsidRPr="002F0BFE">
        <w:rPr>
          <w:rFonts w:cs="Arial"/>
          <w:sz w:val="24"/>
          <w:szCs w:val="24"/>
        </w:rPr>
        <w:t xml:space="preserve">arbitral process, and a </w:t>
      </w:r>
      <w:r w:rsidR="001721A7" w:rsidRPr="002F0BFE">
        <w:rPr>
          <w:rFonts w:cs="Arial"/>
          <w:sz w:val="24"/>
          <w:szCs w:val="24"/>
        </w:rPr>
        <w:t xml:space="preserve">non-interventionist </w:t>
      </w:r>
      <w:r w:rsidR="00124C5D" w:rsidRPr="002F0BFE">
        <w:rPr>
          <w:rFonts w:cs="Arial"/>
          <w:sz w:val="24"/>
          <w:szCs w:val="24"/>
        </w:rPr>
        <w:t xml:space="preserve">approach </w:t>
      </w:r>
      <w:r w:rsidR="001721A7" w:rsidRPr="002F0BFE">
        <w:rPr>
          <w:rFonts w:cs="Arial"/>
          <w:sz w:val="24"/>
          <w:szCs w:val="24"/>
        </w:rPr>
        <w:t>to enforcing arbitral awards</w:t>
      </w:r>
      <w:r w:rsidR="00124C5D" w:rsidRPr="002F0BFE">
        <w:rPr>
          <w:rFonts w:cs="Arial"/>
          <w:sz w:val="24"/>
          <w:szCs w:val="24"/>
        </w:rPr>
        <w:t xml:space="preserve">. </w:t>
      </w:r>
      <w:r w:rsidR="00124C5D" w:rsidRPr="002F0BFE">
        <w:rPr>
          <w:rFonts w:cs="Arial"/>
          <w:sz w:val="24"/>
          <w:szCs w:val="24"/>
        </w:rPr>
        <w:lastRenderedPageBreak/>
        <w:t>These</w:t>
      </w:r>
      <w:r w:rsidR="001721A7" w:rsidRPr="002F0BFE">
        <w:rPr>
          <w:rFonts w:cs="Arial"/>
          <w:sz w:val="24"/>
          <w:szCs w:val="24"/>
        </w:rPr>
        <w:t xml:space="preserve"> lie at the heart of the New York Convention and the Model Law.</w:t>
      </w:r>
      <w:r w:rsidR="001721A7" w:rsidRPr="002F0BFE">
        <w:rPr>
          <w:rStyle w:val="FootnoteReference"/>
          <w:rFonts w:cs="Arial"/>
          <w:sz w:val="24"/>
          <w:szCs w:val="24"/>
        </w:rPr>
        <w:footnoteReference w:id="50"/>
      </w:r>
      <w:r w:rsidR="001721A7" w:rsidRPr="002F0BFE">
        <w:rPr>
          <w:rFonts w:cs="Arial"/>
          <w:sz w:val="24"/>
          <w:szCs w:val="24"/>
        </w:rPr>
        <w:t xml:space="preserve"> The record of cases since Australia’s modern arbitration law reforms demonstrate that these are principles that the Australian courts understand and abide by.</w:t>
      </w:r>
    </w:p>
    <w:p w14:paraId="1BA04498" w14:textId="4A76D05D" w:rsidR="00B13297" w:rsidRPr="002F0BFE" w:rsidRDefault="004B088E" w:rsidP="00B13297">
      <w:pPr>
        <w:spacing w:line="360" w:lineRule="auto"/>
        <w:jc w:val="both"/>
        <w:rPr>
          <w:rFonts w:cs="Arial"/>
          <w:sz w:val="24"/>
          <w:szCs w:val="24"/>
        </w:rPr>
      </w:pPr>
      <w:r w:rsidRPr="002F0BFE">
        <w:rPr>
          <w:rFonts w:cs="Arial"/>
          <w:sz w:val="24"/>
          <w:szCs w:val="24"/>
        </w:rPr>
        <w:t>T</w:t>
      </w:r>
      <w:r w:rsidR="00D4622A" w:rsidRPr="002F0BFE">
        <w:rPr>
          <w:rFonts w:cs="Arial"/>
          <w:sz w:val="24"/>
          <w:szCs w:val="24"/>
        </w:rPr>
        <w:t>he</w:t>
      </w:r>
      <w:r w:rsidR="00A12251" w:rsidRPr="002F0BFE">
        <w:rPr>
          <w:rFonts w:cs="Arial"/>
          <w:sz w:val="24"/>
          <w:szCs w:val="24"/>
        </w:rPr>
        <w:t xml:space="preserve"> High Court of Australia, being the Court of highest judicial authority in the country, </w:t>
      </w:r>
      <w:r w:rsidR="00D4622A" w:rsidRPr="002F0BFE">
        <w:rPr>
          <w:rFonts w:cs="Arial"/>
          <w:sz w:val="24"/>
          <w:szCs w:val="24"/>
        </w:rPr>
        <w:t xml:space="preserve">has laid significant foundation for </w:t>
      </w:r>
      <w:r w:rsidR="00903E51" w:rsidRPr="002F0BFE">
        <w:rPr>
          <w:rFonts w:cs="Arial"/>
          <w:sz w:val="24"/>
          <w:szCs w:val="24"/>
        </w:rPr>
        <w:t>a non-interventionist approach to enforcement</w:t>
      </w:r>
      <w:r w:rsidR="00A12251" w:rsidRPr="002F0BFE">
        <w:rPr>
          <w:rFonts w:cs="Arial"/>
          <w:sz w:val="24"/>
          <w:szCs w:val="24"/>
        </w:rPr>
        <w:t xml:space="preserve"> in its landmark 2013 decision of </w:t>
      </w:r>
      <w:r w:rsidR="00A12251" w:rsidRPr="002F0BFE">
        <w:rPr>
          <w:rFonts w:cs="Arial"/>
          <w:i/>
          <w:sz w:val="24"/>
          <w:szCs w:val="24"/>
        </w:rPr>
        <w:t>TCL Air Conditioner v The Judges of the Federal Court of Australia</w:t>
      </w:r>
      <w:r w:rsidR="00A12251" w:rsidRPr="002F0BFE">
        <w:rPr>
          <w:rFonts w:cs="Arial"/>
          <w:sz w:val="24"/>
          <w:szCs w:val="24"/>
        </w:rPr>
        <w:t>.</w:t>
      </w:r>
      <w:r w:rsidR="00A12251" w:rsidRPr="002F0BFE">
        <w:rPr>
          <w:rStyle w:val="FootnoteReference"/>
          <w:rFonts w:cs="Arial"/>
          <w:sz w:val="24"/>
          <w:szCs w:val="24"/>
        </w:rPr>
        <w:footnoteReference w:id="51"/>
      </w:r>
      <w:r w:rsidR="00A12251" w:rsidRPr="002F0BFE">
        <w:rPr>
          <w:rFonts w:cs="Arial"/>
          <w:sz w:val="24"/>
          <w:szCs w:val="24"/>
        </w:rPr>
        <w:t xml:space="preserve"> In this case, </w:t>
      </w:r>
      <w:r w:rsidR="00D4622A" w:rsidRPr="002F0BFE">
        <w:rPr>
          <w:rFonts w:cs="Arial"/>
          <w:sz w:val="24"/>
          <w:szCs w:val="24"/>
        </w:rPr>
        <w:t xml:space="preserve">their </w:t>
      </w:r>
      <w:r w:rsidR="000C3019" w:rsidRPr="002F0BFE">
        <w:rPr>
          <w:rFonts w:cs="Arial"/>
          <w:sz w:val="24"/>
          <w:szCs w:val="24"/>
        </w:rPr>
        <w:t>Honours</w:t>
      </w:r>
      <w:r w:rsidR="00903E51" w:rsidRPr="002F0BFE">
        <w:rPr>
          <w:rFonts w:cs="Arial"/>
          <w:sz w:val="24"/>
          <w:szCs w:val="24"/>
        </w:rPr>
        <w:t xml:space="preserve"> cemented in law</w:t>
      </w:r>
      <w:r w:rsidR="00154089" w:rsidRPr="002F0BFE">
        <w:rPr>
          <w:rFonts w:cs="Arial"/>
          <w:sz w:val="24"/>
          <w:szCs w:val="24"/>
        </w:rPr>
        <w:t xml:space="preserve"> that the final and conclusive nature of an arbitral award is a consequence of the parties' agreement to have their dispute referred to arbitratio</w:t>
      </w:r>
      <w:r w:rsidR="00D90EB4" w:rsidRPr="002F0BFE">
        <w:rPr>
          <w:rFonts w:cs="Arial"/>
          <w:sz w:val="24"/>
          <w:szCs w:val="24"/>
        </w:rPr>
        <w:t>n</w:t>
      </w:r>
      <w:r w:rsidR="00B13297" w:rsidRPr="002F0BFE">
        <w:rPr>
          <w:rFonts w:cs="Arial"/>
          <w:sz w:val="24"/>
          <w:szCs w:val="24"/>
        </w:rPr>
        <w:t>.</w:t>
      </w:r>
      <w:r w:rsidR="00B13297" w:rsidRPr="002F0BFE">
        <w:rPr>
          <w:rStyle w:val="FootnoteReference"/>
          <w:rFonts w:cs="Arial"/>
          <w:sz w:val="24"/>
          <w:szCs w:val="24"/>
        </w:rPr>
        <w:footnoteReference w:id="52"/>
      </w:r>
      <w:r w:rsidR="00B13297" w:rsidRPr="002F0BFE">
        <w:rPr>
          <w:rFonts w:cs="Arial"/>
          <w:sz w:val="24"/>
          <w:szCs w:val="24"/>
        </w:rPr>
        <w:t xml:space="preserve"> A non-interventionist approach to the </w:t>
      </w:r>
      <w:r w:rsidR="000C3019" w:rsidRPr="002F0BFE">
        <w:rPr>
          <w:rFonts w:cs="Arial"/>
          <w:sz w:val="24"/>
          <w:szCs w:val="24"/>
        </w:rPr>
        <w:t>enforcement</w:t>
      </w:r>
      <w:r w:rsidR="00B13297" w:rsidRPr="002F0BFE">
        <w:rPr>
          <w:rFonts w:cs="Arial"/>
          <w:sz w:val="24"/>
          <w:szCs w:val="24"/>
        </w:rPr>
        <w:t xml:space="preserve"> of awards was therefore warranted, and importantly</w:t>
      </w:r>
      <w:r w:rsidR="000C3019" w:rsidRPr="002F0BFE">
        <w:rPr>
          <w:rFonts w:cs="Arial"/>
          <w:sz w:val="24"/>
          <w:szCs w:val="24"/>
        </w:rPr>
        <w:t>,</w:t>
      </w:r>
      <w:r w:rsidR="00B13297" w:rsidRPr="002F0BFE">
        <w:rPr>
          <w:rFonts w:cs="Arial"/>
          <w:sz w:val="24"/>
          <w:szCs w:val="24"/>
        </w:rPr>
        <w:t xml:space="preserve"> the Court confirmed </w:t>
      </w:r>
      <w:r w:rsidR="000C3019" w:rsidRPr="002F0BFE">
        <w:rPr>
          <w:rFonts w:cs="Arial"/>
          <w:sz w:val="24"/>
          <w:szCs w:val="24"/>
        </w:rPr>
        <w:t>that the</w:t>
      </w:r>
      <w:r w:rsidR="00EA2E09" w:rsidRPr="002F0BFE">
        <w:rPr>
          <w:rFonts w:cs="Arial"/>
          <w:sz w:val="24"/>
          <w:szCs w:val="24"/>
        </w:rPr>
        <w:t xml:space="preserve"> grounds</w:t>
      </w:r>
      <w:r w:rsidR="00D90EB4" w:rsidRPr="002F0BFE">
        <w:rPr>
          <w:rFonts w:cs="Arial"/>
          <w:sz w:val="24"/>
          <w:szCs w:val="24"/>
        </w:rPr>
        <w:t xml:space="preserve"> of</w:t>
      </w:r>
      <w:r w:rsidR="00EA2E09" w:rsidRPr="002F0BFE">
        <w:rPr>
          <w:rFonts w:cs="Arial"/>
          <w:sz w:val="24"/>
          <w:szCs w:val="24"/>
        </w:rPr>
        <w:t xml:space="preserve"> appeal of awards are </w:t>
      </w:r>
      <w:r w:rsidR="000C3019" w:rsidRPr="002F0BFE">
        <w:rPr>
          <w:rFonts w:cs="Arial"/>
          <w:sz w:val="24"/>
          <w:szCs w:val="24"/>
        </w:rPr>
        <w:t>limited to those</w:t>
      </w:r>
      <w:r w:rsidR="00124C5D" w:rsidRPr="002F0BFE">
        <w:rPr>
          <w:rFonts w:cs="Arial"/>
          <w:sz w:val="24"/>
          <w:szCs w:val="24"/>
        </w:rPr>
        <w:t xml:space="preserve"> </w:t>
      </w:r>
      <w:r w:rsidR="000C3019" w:rsidRPr="002F0BFE">
        <w:rPr>
          <w:rFonts w:cs="Arial"/>
          <w:sz w:val="24"/>
          <w:szCs w:val="24"/>
        </w:rPr>
        <w:t>provided</w:t>
      </w:r>
      <w:r w:rsidR="00D90EB4" w:rsidRPr="002F0BFE">
        <w:rPr>
          <w:rFonts w:cs="Arial"/>
          <w:sz w:val="24"/>
          <w:szCs w:val="24"/>
        </w:rPr>
        <w:t xml:space="preserve"> for</w:t>
      </w:r>
      <w:r w:rsidR="000C3019" w:rsidRPr="002F0BFE">
        <w:rPr>
          <w:rFonts w:cs="Arial"/>
          <w:sz w:val="24"/>
          <w:szCs w:val="24"/>
        </w:rPr>
        <w:t xml:space="preserve"> in the </w:t>
      </w:r>
      <w:r w:rsidR="000C3019" w:rsidRPr="002F0BFE">
        <w:rPr>
          <w:rFonts w:cs="Arial"/>
          <w:i/>
          <w:sz w:val="24"/>
          <w:szCs w:val="24"/>
        </w:rPr>
        <w:t>Model Law</w:t>
      </w:r>
      <w:r w:rsidR="00B13297" w:rsidRPr="002F0BFE">
        <w:rPr>
          <w:rFonts w:cs="Arial"/>
          <w:sz w:val="24"/>
          <w:szCs w:val="24"/>
        </w:rPr>
        <w:t>.</w:t>
      </w:r>
    </w:p>
    <w:p w14:paraId="1D6E1D1F" w14:textId="7601AAA2" w:rsidR="000C3019" w:rsidRPr="002F0BFE" w:rsidRDefault="000C3019" w:rsidP="000C3019">
      <w:pPr>
        <w:pStyle w:val="Heading3"/>
        <w:rPr>
          <w:sz w:val="24"/>
          <w:szCs w:val="24"/>
        </w:rPr>
      </w:pPr>
      <w:r w:rsidRPr="002F0BFE">
        <w:rPr>
          <w:i/>
          <w:sz w:val="24"/>
          <w:szCs w:val="24"/>
        </w:rPr>
        <w:t>Non-interventionist approach</w:t>
      </w:r>
      <w:r w:rsidR="00154C16" w:rsidRPr="002F0BFE">
        <w:rPr>
          <w:i/>
          <w:sz w:val="24"/>
          <w:szCs w:val="24"/>
        </w:rPr>
        <w:t xml:space="preserve">/Breach of natural justice </w:t>
      </w:r>
    </w:p>
    <w:p w14:paraId="421D3379" w14:textId="20295CF8" w:rsidR="00A000E9" w:rsidRPr="002F0BFE" w:rsidRDefault="004B088E" w:rsidP="00A12251">
      <w:pPr>
        <w:spacing w:line="360" w:lineRule="auto"/>
        <w:jc w:val="both"/>
        <w:rPr>
          <w:rFonts w:cs="Arial"/>
          <w:sz w:val="24"/>
          <w:szCs w:val="24"/>
        </w:rPr>
      </w:pPr>
      <w:r w:rsidRPr="002F0BFE">
        <w:rPr>
          <w:rFonts w:cs="Arial"/>
          <w:sz w:val="24"/>
          <w:szCs w:val="24"/>
        </w:rPr>
        <w:t>I</w:t>
      </w:r>
      <w:r w:rsidR="00D90EB4" w:rsidRPr="002F0BFE">
        <w:rPr>
          <w:rFonts w:cs="Arial"/>
          <w:sz w:val="24"/>
          <w:szCs w:val="24"/>
        </w:rPr>
        <w:t>n a later case considering an appeal for breaches of natural justice,</w:t>
      </w:r>
      <w:r w:rsidR="005523B5" w:rsidRPr="002F0BFE">
        <w:rPr>
          <w:rFonts w:cs="Arial"/>
          <w:sz w:val="24"/>
          <w:szCs w:val="24"/>
        </w:rPr>
        <w:t xml:space="preserve"> The Full Court of</w:t>
      </w:r>
      <w:r w:rsidR="00A000E9" w:rsidRPr="002F0BFE">
        <w:rPr>
          <w:rFonts w:cs="Arial"/>
          <w:sz w:val="24"/>
          <w:szCs w:val="24"/>
        </w:rPr>
        <w:t xml:space="preserve"> the</w:t>
      </w:r>
      <w:r w:rsidR="00A12251" w:rsidRPr="002F0BFE">
        <w:rPr>
          <w:rFonts w:cs="Arial"/>
          <w:sz w:val="24"/>
          <w:szCs w:val="24"/>
        </w:rPr>
        <w:t xml:space="preserve"> Federal Court</w:t>
      </w:r>
      <w:r w:rsidR="00A000E9" w:rsidRPr="002F0BFE">
        <w:rPr>
          <w:rFonts w:cs="Arial"/>
          <w:sz w:val="24"/>
          <w:szCs w:val="24"/>
        </w:rPr>
        <w:t xml:space="preserve"> </w:t>
      </w:r>
      <w:r w:rsidR="003B0D26" w:rsidRPr="002F0BFE">
        <w:rPr>
          <w:rFonts w:cs="Arial"/>
          <w:sz w:val="24"/>
          <w:szCs w:val="24"/>
        </w:rPr>
        <w:t>set</w:t>
      </w:r>
      <w:r w:rsidR="00A12251" w:rsidRPr="002F0BFE">
        <w:rPr>
          <w:rFonts w:cs="Arial"/>
          <w:sz w:val="24"/>
          <w:szCs w:val="24"/>
        </w:rPr>
        <w:t xml:space="preserve"> a high threshold </w:t>
      </w:r>
      <w:r w:rsidRPr="002F0BFE">
        <w:rPr>
          <w:rFonts w:cs="Arial"/>
          <w:sz w:val="24"/>
          <w:szCs w:val="24"/>
        </w:rPr>
        <w:t>for</w:t>
      </w:r>
      <w:r w:rsidR="00A12251" w:rsidRPr="002F0BFE">
        <w:rPr>
          <w:rFonts w:cs="Arial"/>
          <w:sz w:val="24"/>
          <w:szCs w:val="24"/>
        </w:rPr>
        <w:t xml:space="preserve"> set</w:t>
      </w:r>
      <w:r w:rsidRPr="002F0BFE">
        <w:rPr>
          <w:rFonts w:cs="Arial"/>
          <w:sz w:val="24"/>
          <w:szCs w:val="24"/>
        </w:rPr>
        <w:t>ting</w:t>
      </w:r>
      <w:r w:rsidR="00A12251" w:rsidRPr="002F0BFE">
        <w:rPr>
          <w:rFonts w:cs="Arial"/>
          <w:sz w:val="24"/>
          <w:szCs w:val="24"/>
        </w:rPr>
        <w:t xml:space="preserve"> aside or deny enforcement of arbitral awards under the </w:t>
      </w:r>
      <w:r w:rsidR="00A12251" w:rsidRPr="002F0BFE">
        <w:rPr>
          <w:rFonts w:cs="Arial"/>
          <w:i/>
          <w:sz w:val="24"/>
          <w:szCs w:val="24"/>
        </w:rPr>
        <w:t>Model Law</w:t>
      </w:r>
      <w:r w:rsidR="00A12251" w:rsidRPr="002F0BFE">
        <w:rPr>
          <w:rFonts w:cs="Arial"/>
          <w:sz w:val="24"/>
          <w:szCs w:val="24"/>
        </w:rPr>
        <w:t>. Not only is a breach of the rules of natural justice required, but it must also result in real unfairness or real practical injustice in the conduct of the dispute resolution process.</w:t>
      </w:r>
      <w:r w:rsidR="00A12251" w:rsidRPr="002F0BFE">
        <w:rPr>
          <w:rStyle w:val="FootnoteReference"/>
          <w:rFonts w:cs="Arial"/>
          <w:sz w:val="24"/>
          <w:szCs w:val="24"/>
        </w:rPr>
        <w:footnoteReference w:id="53"/>
      </w:r>
      <w:r w:rsidR="00A000E9" w:rsidRPr="002F0BFE">
        <w:rPr>
          <w:rFonts w:cs="Arial"/>
          <w:sz w:val="24"/>
          <w:szCs w:val="24"/>
        </w:rPr>
        <w:t xml:space="preserve"> </w:t>
      </w:r>
    </w:p>
    <w:p w14:paraId="1F2384FC" w14:textId="11472106" w:rsidR="00A12251" w:rsidRPr="002F0BFE" w:rsidRDefault="004B088E" w:rsidP="00A12251">
      <w:pPr>
        <w:spacing w:line="360" w:lineRule="auto"/>
        <w:jc w:val="both"/>
        <w:rPr>
          <w:rFonts w:cs="Arial"/>
          <w:sz w:val="24"/>
          <w:szCs w:val="24"/>
        </w:rPr>
      </w:pPr>
      <w:r w:rsidRPr="002F0BFE">
        <w:rPr>
          <w:rFonts w:cs="Arial"/>
          <w:sz w:val="24"/>
          <w:szCs w:val="24"/>
        </w:rPr>
        <w:t>This</w:t>
      </w:r>
      <w:r w:rsidR="00A000E9" w:rsidRPr="002F0BFE">
        <w:rPr>
          <w:rFonts w:cs="Arial"/>
          <w:sz w:val="24"/>
          <w:szCs w:val="24"/>
        </w:rPr>
        <w:t xml:space="preserve"> decision </w:t>
      </w:r>
      <w:r w:rsidRPr="002F0BFE">
        <w:rPr>
          <w:rFonts w:cs="Arial"/>
          <w:sz w:val="24"/>
          <w:szCs w:val="24"/>
        </w:rPr>
        <w:t>is one of many</w:t>
      </w:r>
      <w:r w:rsidR="00A000E9" w:rsidRPr="002F0BFE">
        <w:rPr>
          <w:rFonts w:cs="Arial"/>
          <w:sz w:val="24"/>
          <w:szCs w:val="24"/>
        </w:rPr>
        <w:t xml:space="preserve"> Australian decisions that confirm </w:t>
      </w:r>
      <w:r w:rsidRPr="002F0BFE">
        <w:rPr>
          <w:rFonts w:cs="Arial"/>
          <w:sz w:val="24"/>
          <w:szCs w:val="24"/>
        </w:rPr>
        <w:t xml:space="preserve">the </w:t>
      </w:r>
      <w:r w:rsidR="00A000E9" w:rsidRPr="002F0BFE">
        <w:rPr>
          <w:rFonts w:cs="Arial"/>
          <w:sz w:val="24"/>
          <w:szCs w:val="24"/>
        </w:rPr>
        <w:t>limitations on the appeal and review of arbitral awards. These include n</w:t>
      </w:r>
      <w:r w:rsidR="00A12251" w:rsidRPr="002F0BFE">
        <w:rPr>
          <w:rFonts w:cs="Arial"/>
          <w:sz w:val="24"/>
          <w:szCs w:val="24"/>
        </w:rPr>
        <w:t>o general discretion to refuse enforcement in Australia, and</w:t>
      </w:r>
      <w:r w:rsidR="00A000E9" w:rsidRPr="002F0BFE">
        <w:rPr>
          <w:rFonts w:cs="Arial"/>
          <w:sz w:val="24"/>
          <w:szCs w:val="24"/>
        </w:rPr>
        <w:t xml:space="preserve"> that</w:t>
      </w:r>
      <w:r w:rsidR="00A12251" w:rsidRPr="002F0BFE">
        <w:rPr>
          <w:rFonts w:cs="Arial"/>
          <w:sz w:val="24"/>
          <w:szCs w:val="24"/>
        </w:rPr>
        <w:t xml:space="preserve"> the public policy ground for refusing enforcement under the Act is to be interpreted narrowly without residual discretion.</w:t>
      </w:r>
      <w:r w:rsidR="00A12251" w:rsidRPr="002F0BFE">
        <w:rPr>
          <w:rStyle w:val="FootnoteReference"/>
          <w:rFonts w:cs="Arial"/>
          <w:sz w:val="24"/>
          <w:szCs w:val="24"/>
        </w:rPr>
        <w:footnoteReference w:id="54"/>
      </w:r>
      <w:r w:rsidR="00A12251" w:rsidRPr="002F0BFE">
        <w:rPr>
          <w:rFonts w:cs="Arial"/>
          <w:sz w:val="24"/>
          <w:szCs w:val="24"/>
        </w:rPr>
        <w:t xml:space="preserve"> The NSW Supreme Court goes so far as allowing specific parts of awards infected by a breach of natural justice to be severed from the balance of the award that is otherwise enforced under the </w:t>
      </w:r>
      <w:r w:rsidR="00A12251" w:rsidRPr="002F0BFE">
        <w:rPr>
          <w:rFonts w:cs="Arial"/>
          <w:i/>
          <w:sz w:val="24"/>
          <w:szCs w:val="24"/>
        </w:rPr>
        <w:t>International Arbitration Act</w:t>
      </w:r>
      <w:r w:rsidR="00A12251" w:rsidRPr="002F0BFE">
        <w:rPr>
          <w:rFonts w:cs="Arial"/>
          <w:sz w:val="24"/>
          <w:szCs w:val="24"/>
        </w:rPr>
        <w:t>.</w:t>
      </w:r>
      <w:r w:rsidR="00A12251" w:rsidRPr="002F0BFE">
        <w:rPr>
          <w:rStyle w:val="FootnoteReference"/>
          <w:rFonts w:cs="Arial"/>
          <w:sz w:val="24"/>
          <w:szCs w:val="24"/>
        </w:rPr>
        <w:footnoteReference w:id="55"/>
      </w:r>
      <w:r w:rsidR="00A12251" w:rsidRPr="002F0BFE">
        <w:rPr>
          <w:rFonts w:cs="Arial"/>
          <w:sz w:val="24"/>
          <w:szCs w:val="24"/>
        </w:rPr>
        <w:t xml:space="preserve"> </w:t>
      </w:r>
    </w:p>
    <w:p w14:paraId="30B1858C" w14:textId="31D705C5" w:rsidR="00A12251" w:rsidRPr="002F0BFE" w:rsidRDefault="004B088E" w:rsidP="00A12251">
      <w:pPr>
        <w:spacing w:line="360" w:lineRule="auto"/>
        <w:jc w:val="both"/>
        <w:rPr>
          <w:rFonts w:cs="Arial"/>
          <w:sz w:val="24"/>
          <w:szCs w:val="24"/>
        </w:rPr>
      </w:pPr>
      <w:r w:rsidRPr="002F0BFE">
        <w:rPr>
          <w:rFonts w:cs="Arial"/>
          <w:sz w:val="24"/>
          <w:szCs w:val="24"/>
        </w:rPr>
        <w:lastRenderedPageBreak/>
        <w:t xml:space="preserve">All in all, the </w:t>
      </w:r>
      <w:r w:rsidR="00124C5D" w:rsidRPr="002F0BFE">
        <w:rPr>
          <w:rFonts w:cs="Arial"/>
          <w:sz w:val="24"/>
          <w:szCs w:val="24"/>
        </w:rPr>
        <w:t xml:space="preserve">cases </w:t>
      </w:r>
      <w:r w:rsidR="00A12251" w:rsidRPr="002F0BFE">
        <w:rPr>
          <w:rFonts w:cs="Arial"/>
          <w:sz w:val="24"/>
          <w:szCs w:val="24"/>
        </w:rPr>
        <w:t xml:space="preserve">demonstrate the pro-arbitration attitude of Australian courts to enforcing arbitral awards, an attitude that </w:t>
      </w:r>
      <w:r w:rsidRPr="002F0BFE">
        <w:rPr>
          <w:rFonts w:cs="Arial"/>
          <w:sz w:val="24"/>
          <w:szCs w:val="24"/>
        </w:rPr>
        <w:t xml:space="preserve">can also be seen </w:t>
      </w:r>
      <w:r w:rsidR="00A12251" w:rsidRPr="002F0BFE">
        <w:rPr>
          <w:rFonts w:cs="Arial"/>
          <w:sz w:val="24"/>
          <w:szCs w:val="24"/>
        </w:rPr>
        <w:t xml:space="preserve">in </w:t>
      </w:r>
      <w:r w:rsidRPr="002F0BFE">
        <w:rPr>
          <w:rFonts w:cs="Arial"/>
          <w:sz w:val="24"/>
          <w:szCs w:val="24"/>
        </w:rPr>
        <w:t xml:space="preserve">addressing </w:t>
      </w:r>
      <w:r w:rsidR="00A12251" w:rsidRPr="002F0BFE">
        <w:rPr>
          <w:rFonts w:cs="Arial"/>
          <w:sz w:val="24"/>
          <w:szCs w:val="24"/>
        </w:rPr>
        <w:t xml:space="preserve">other </w:t>
      </w:r>
      <w:r w:rsidRPr="002F0BFE">
        <w:rPr>
          <w:rFonts w:cs="Arial"/>
          <w:sz w:val="24"/>
          <w:szCs w:val="24"/>
        </w:rPr>
        <w:t>aspects of the arbitral process</w:t>
      </w:r>
      <w:r w:rsidR="00A12251" w:rsidRPr="002F0BFE">
        <w:rPr>
          <w:rFonts w:cs="Arial"/>
          <w:sz w:val="24"/>
          <w:szCs w:val="24"/>
        </w:rPr>
        <w:t>.</w:t>
      </w:r>
    </w:p>
    <w:p w14:paraId="42AF1A45" w14:textId="528F9C16" w:rsidR="00A000E9" w:rsidRPr="002F0BFE" w:rsidRDefault="00A000E9" w:rsidP="00A000E9">
      <w:pPr>
        <w:pStyle w:val="Heading3"/>
        <w:rPr>
          <w:sz w:val="24"/>
          <w:szCs w:val="24"/>
        </w:rPr>
      </w:pPr>
      <w:r w:rsidRPr="002F0BFE">
        <w:rPr>
          <w:i/>
          <w:sz w:val="24"/>
          <w:szCs w:val="24"/>
        </w:rPr>
        <w:t xml:space="preserve">Arbitration Agreements </w:t>
      </w:r>
    </w:p>
    <w:p w14:paraId="255D2912" w14:textId="69739239" w:rsidR="00A12251" w:rsidRPr="002F0BFE" w:rsidRDefault="00113B52" w:rsidP="00A12251">
      <w:pPr>
        <w:spacing w:line="360" w:lineRule="auto"/>
        <w:jc w:val="both"/>
        <w:rPr>
          <w:rFonts w:cs="Arial"/>
          <w:sz w:val="24"/>
          <w:szCs w:val="24"/>
        </w:rPr>
      </w:pPr>
      <w:r w:rsidRPr="002F0BFE">
        <w:rPr>
          <w:rFonts w:cs="Arial"/>
          <w:sz w:val="24"/>
          <w:szCs w:val="24"/>
        </w:rPr>
        <w:t>The drafting of arbitration agreements is one such area</w:t>
      </w:r>
      <w:r w:rsidR="00A12251" w:rsidRPr="002F0BFE">
        <w:rPr>
          <w:rFonts w:cs="Arial"/>
          <w:sz w:val="24"/>
          <w:szCs w:val="24"/>
        </w:rPr>
        <w:t xml:space="preserve">. The </w:t>
      </w:r>
      <w:r w:rsidR="00A12251" w:rsidRPr="002F0BFE">
        <w:rPr>
          <w:rFonts w:cs="Arial"/>
          <w:i/>
          <w:sz w:val="24"/>
          <w:szCs w:val="24"/>
        </w:rPr>
        <w:t xml:space="preserve">International Arbitration Act </w:t>
      </w:r>
      <w:r w:rsidR="00A12251" w:rsidRPr="002F0BFE">
        <w:rPr>
          <w:rFonts w:cs="Arial"/>
          <w:sz w:val="24"/>
          <w:szCs w:val="24"/>
        </w:rPr>
        <w:t>requires</w:t>
      </w:r>
      <w:r w:rsidR="004B088E" w:rsidRPr="002F0BFE">
        <w:rPr>
          <w:rFonts w:cs="Arial"/>
          <w:sz w:val="24"/>
          <w:szCs w:val="24"/>
        </w:rPr>
        <w:t xml:space="preserve"> a stay where parties have undertaken</w:t>
      </w:r>
      <w:r w:rsidR="00A12251" w:rsidRPr="002F0BFE">
        <w:rPr>
          <w:rFonts w:cs="Arial"/>
          <w:sz w:val="24"/>
          <w:szCs w:val="24"/>
        </w:rPr>
        <w:t xml:space="preserve"> to submit to arbitration all or any differences that have arisen or that may arise between them in respect of a defined legal relationship, whether contractual or not.</w:t>
      </w:r>
      <w:r w:rsidR="00A12251" w:rsidRPr="002F0BFE">
        <w:rPr>
          <w:rStyle w:val="FootnoteReference"/>
          <w:rFonts w:cs="Arial"/>
          <w:sz w:val="24"/>
          <w:szCs w:val="24"/>
        </w:rPr>
        <w:footnoteReference w:id="56"/>
      </w:r>
      <w:r w:rsidR="004B088E" w:rsidRPr="002F0BFE">
        <w:rPr>
          <w:rFonts w:cs="Arial"/>
          <w:sz w:val="24"/>
          <w:szCs w:val="24"/>
        </w:rPr>
        <w:t xml:space="preserve"> The</w:t>
      </w:r>
      <w:r w:rsidRPr="002F0BFE">
        <w:rPr>
          <w:rFonts w:cs="Arial"/>
          <w:sz w:val="24"/>
          <w:szCs w:val="24"/>
        </w:rPr>
        <w:t xml:space="preserve"> </w:t>
      </w:r>
      <w:r w:rsidR="004B088E" w:rsidRPr="002F0BFE">
        <w:rPr>
          <w:rFonts w:cs="Arial"/>
          <w:sz w:val="24"/>
          <w:szCs w:val="24"/>
        </w:rPr>
        <w:t>u</w:t>
      </w:r>
      <w:r w:rsidR="00A12251" w:rsidRPr="002F0BFE">
        <w:rPr>
          <w:rFonts w:cs="Arial"/>
          <w:sz w:val="24"/>
          <w:szCs w:val="24"/>
        </w:rPr>
        <w:t xml:space="preserve">se </w:t>
      </w:r>
      <w:r w:rsidRPr="002F0BFE">
        <w:rPr>
          <w:rFonts w:cs="Arial"/>
          <w:sz w:val="24"/>
          <w:szCs w:val="24"/>
        </w:rPr>
        <w:t xml:space="preserve">of ambiguous terminology such as </w:t>
      </w:r>
      <w:r w:rsidR="00A12251" w:rsidRPr="002F0BFE">
        <w:rPr>
          <w:rFonts w:cs="Arial"/>
          <w:sz w:val="24"/>
          <w:szCs w:val="24"/>
        </w:rPr>
        <w:t xml:space="preserve">'may' as opposed to 'must' or 'shall' in arbitration agreements </w:t>
      </w:r>
      <w:r w:rsidRPr="002F0BFE">
        <w:rPr>
          <w:rFonts w:cs="Arial"/>
          <w:sz w:val="24"/>
          <w:szCs w:val="24"/>
        </w:rPr>
        <w:t xml:space="preserve">are common </w:t>
      </w:r>
      <w:r w:rsidR="004B088E" w:rsidRPr="002F0BFE">
        <w:rPr>
          <w:rFonts w:cs="Arial"/>
          <w:sz w:val="24"/>
          <w:szCs w:val="24"/>
        </w:rPr>
        <w:t xml:space="preserve">sources </w:t>
      </w:r>
      <w:r w:rsidRPr="002F0BFE">
        <w:rPr>
          <w:rFonts w:cs="Arial"/>
          <w:sz w:val="24"/>
          <w:szCs w:val="24"/>
        </w:rPr>
        <w:t>of disputes</w:t>
      </w:r>
      <w:r w:rsidR="004B088E" w:rsidRPr="002F0BFE">
        <w:rPr>
          <w:rFonts w:cs="Arial"/>
          <w:sz w:val="24"/>
          <w:szCs w:val="24"/>
        </w:rPr>
        <w:t xml:space="preserve"> over the validity of the agreement</w:t>
      </w:r>
      <w:r w:rsidRPr="002F0BFE">
        <w:rPr>
          <w:rFonts w:cs="Arial"/>
          <w:sz w:val="24"/>
          <w:szCs w:val="24"/>
        </w:rPr>
        <w:t>, not just in Australia, but the world over</w:t>
      </w:r>
      <w:r w:rsidR="00A12251" w:rsidRPr="002F0BFE">
        <w:rPr>
          <w:rFonts w:cs="Arial"/>
          <w:sz w:val="24"/>
          <w:szCs w:val="24"/>
        </w:rPr>
        <w:t>. However, Australian courts will enforce arbitration agreements containing the word “may” where a proper interpretation of the clause demonstrates that the parties intended that arbitration be mandatory.</w:t>
      </w:r>
      <w:r w:rsidR="00A12251" w:rsidRPr="002F0BFE">
        <w:rPr>
          <w:rStyle w:val="FootnoteReference"/>
          <w:rFonts w:cs="Arial"/>
          <w:sz w:val="24"/>
          <w:szCs w:val="24"/>
          <w:lang w:val="en-US"/>
        </w:rPr>
        <w:footnoteReference w:id="57"/>
      </w:r>
      <w:r w:rsidR="00A12251" w:rsidRPr="002F0BFE">
        <w:rPr>
          <w:rFonts w:cs="Arial"/>
          <w:sz w:val="24"/>
          <w:szCs w:val="24"/>
        </w:rPr>
        <w:t xml:space="preserve"> </w:t>
      </w:r>
    </w:p>
    <w:p w14:paraId="6A63DBB8" w14:textId="79EA611E" w:rsidR="00A000E9" w:rsidRPr="002F0BFE" w:rsidRDefault="00A000E9" w:rsidP="00A000E9">
      <w:pPr>
        <w:pStyle w:val="Heading3"/>
        <w:rPr>
          <w:sz w:val="24"/>
          <w:szCs w:val="24"/>
        </w:rPr>
      </w:pPr>
      <w:proofErr w:type="spellStart"/>
      <w:r w:rsidRPr="002F0BFE">
        <w:rPr>
          <w:i/>
          <w:sz w:val="24"/>
          <w:szCs w:val="24"/>
        </w:rPr>
        <w:t>Arbitrability</w:t>
      </w:r>
      <w:proofErr w:type="spellEnd"/>
      <w:r w:rsidR="00113B52" w:rsidRPr="002F0BFE">
        <w:rPr>
          <w:i/>
          <w:sz w:val="24"/>
          <w:szCs w:val="24"/>
        </w:rPr>
        <w:t xml:space="preserve"> </w:t>
      </w:r>
      <w:r w:rsidRPr="002F0BFE">
        <w:rPr>
          <w:i/>
          <w:sz w:val="24"/>
          <w:szCs w:val="24"/>
        </w:rPr>
        <w:t xml:space="preserve"> </w:t>
      </w:r>
    </w:p>
    <w:p w14:paraId="01FD6FE2" w14:textId="58DFAA87" w:rsidR="00A12251" w:rsidRPr="002F0BFE" w:rsidRDefault="00113B52" w:rsidP="00A12251">
      <w:pPr>
        <w:spacing w:line="360" w:lineRule="auto"/>
        <w:jc w:val="both"/>
        <w:rPr>
          <w:rFonts w:cs="Arial"/>
          <w:sz w:val="24"/>
          <w:szCs w:val="24"/>
          <w:lang w:val="en-US"/>
        </w:rPr>
      </w:pPr>
      <w:proofErr w:type="spellStart"/>
      <w:r w:rsidRPr="002F0BFE">
        <w:rPr>
          <w:rFonts w:cs="Arial"/>
          <w:sz w:val="24"/>
          <w:szCs w:val="24"/>
        </w:rPr>
        <w:t>Arbitrability</w:t>
      </w:r>
      <w:proofErr w:type="spellEnd"/>
      <w:r w:rsidRPr="002F0BFE">
        <w:rPr>
          <w:rFonts w:cs="Arial"/>
          <w:sz w:val="24"/>
          <w:szCs w:val="24"/>
        </w:rPr>
        <w:t xml:space="preserve"> is another area often subject to dispute. A</w:t>
      </w:r>
      <w:r w:rsidR="00A12251" w:rsidRPr="002F0BFE">
        <w:rPr>
          <w:rFonts w:cs="Arial"/>
          <w:sz w:val="24"/>
          <w:szCs w:val="24"/>
        </w:rPr>
        <w:t xml:space="preserve">dmittedly </w:t>
      </w:r>
      <w:r w:rsidR="00903E51" w:rsidRPr="002F0BFE">
        <w:rPr>
          <w:rFonts w:cs="Arial"/>
          <w:sz w:val="24"/>
          <w:szCs w:val="24"/>
        </w:rPr>
        <w:t>it is an issue</w:t>
      </w:r>
      <w:r w:rsidR="00A12251" w:rsidRPr="002F0BFE">
        <w:rPr>
          <w:rFonts w:cs="Arial"/>
          <w:sz w:val="24"/>
          <w:szCs w:val="24"/>
        </w:rPr>
        <w:t xml:space="preserve"> not fully resolved</w:t>
      </w:r>
      <w:r w:rsidRPr="002F0BFE">
        <w:rPr>
          <w:rFonts w:cs="Arial"/>
          <w:sz w:val="24"/>
          <w:szCs w:val="24"/>
        </w:rPr>
        <w:t xml:space="preserve">, with </w:t>
      </w:r>
      <w:r w:rsidR="00903E51" w:rsidRPr="002F0BFE">
        <w:rPr>
          <w:rFonts w:cs="Arial"/>
          <w:sz w:val="24"/>
          <w:szCs w:val="24"/>
        </w:rPr>
        <w:t>general jurisprudence</w:t>
      </w:r>
      <w:r w:rsidR="00A12251" w:rsidRPr="002F0BFE">
        <w:rPr>
          <w:rFonts w:cs="Arial"/>
          <w:sz w:val="24"/>
          <w:szCs w:val="24"/>
          <w:lang w:val="en-US"/>
        </w:rPr>
        <w:t xml:space="preserve"> </w:t>
      </w:r>
      <w:r w:rsidR="00903E51" w:rsidRPr="002F0BFE">
        <w:rPr>
          <w:rFonts w:cs="Arial"/>
          <w:sz w:val="24"/>
          <w:szCs w:val="24"/>
          <w:lang w:val="en-US"/>
        </w:rPr>
        <w:t xml:space="preserve">being that </w:t>
      </w:r>
      <w:r w:rsidR="00A12251" w:rsidRPr="002F0BFE">
        <w:rPr>
          <w:rFonts w:cs="Arial"/>
          <w:sz w:val="24"/>
          <w:szCs w:val="24"/>
          <w:lang w:val="en-US"/>
        </w:rPr>
        <w:t>some commercial matters warrant the kind of close public scrutiny that only courts can provide.</w:t>
      </w:r>
      <w:r w:rsidR="00A12251" w:rsidRPr="002F0BFE">
        <w:rPr>
          <w:rStyle w:val="FootnoteReference"/>
          <w:rFonts w:cs="Arial"/>
          <w:sz w:val="24"/>
          <w:szCs w:val="24"/>
          <w:lang w:val="en-US"/>
        </w:rPr>
        <w:footnoteReference w:id="58"/>
      </w:r>
      <w:r w:rsidR="00A12251" w:rsidRPr="002F0BFE">
        <w:rPr>
          <w:rFonts w:cs="Arial"/>
          <w:sz w:val="24"/>
          <w:szCs w:val="24"/>
          <w:lang w:val="en-US"/>
        </w:rPr>
        <w:t xml:space="preserve"> Broadly speaking, that includes the usual suspects, namely issues involving anti-trust and competition disputes, securities transactions,</w:t>
      </w:r>
      <w:r w:rsidR="00A12251" w:rsidRPr="002F0BFE">
        <w:rPr>
          <w:rStyle w:val="FootnoteReference"/>
          <w:rFonts w:cs="Arial"/>
          <w:sz w:val="24"/>
          <w:szCs w:val="24"/>
          <w:lang w:val="en-US"/>
        </w:rPr>
        <w:footnoteReference w:id="59"/>
      </w:r>
      <w:r w:rsidR="00A12251" w:rsidRPr="002F0BFE">
        <w:rPr>
          <w:rFonts w:cs="Arial"/>
          <w:sz w:val="24"/>
          <w:szCs w:val="24"/>
          <w:lang w:val="en-US"/>
        </w:rPr>
        <w:t xml:space="preserve"> insolvency, taxation,</w:t>
      </w:r>
      <w:r w:rsidR="00A12251" w:rsidRPr="002F0BFE">
        <w:rPr>
          <w:rStyle w:val="FootnoteReference"/>
          <w:rFonts w:cs="Arial"/>
          <w:sz w:val="24"/>
          <w:szCs w:val="24"/>
          <w:lang w:val="en-US"/>
        </w:rPr>
        <w:footnoteReference w:id="60"/>
      </w:r>
      <w:r w:rsidR="00A12251" w:rsidRPr="002F0BFE">
        <w:rPr>
          <w:rFonts w:cs="Arial"/>
          <w:sz w:val="24"/>
          <w:szCs w:val="24"/>
          <w:lang w:val="en-US"/>
        </w:rPr>
        <w:t xml:space="preserve"> insurance</w:t>
      </w:r>
      <w:r w:rsidR="00A12251" w:rsidRPr="002F0BFE">
        <w:rPr>
          <w:rStyle w:val="FootnoteReference"/>
          <w:rFonts w:cs="Arial"/>
          <w:sz w:val="24"/>
          <w:szCs w:val="24"/>
          <w:lang w:val="en-US"/>
        </w:rPr>
        <w:footnoteReference w:id="61"/>
      </w:r>
      <w:r w:rsidR="00A12251" w:rsidRPr="002F0BFE">
        <w:rPr>
          <w:rFonts w:cs="Arial"/>
          <w:sz w:val="24"/>
          <w:szCs w:val="24"/>
          <w:lang w:val="en-US"/>
        </w:rPr>
        <w:t>, workplace</w:t>
      </w:r>
      <w:r w:rsidR="00A12251" w:rsidRPr="002F0BFE">
        <w:rPr>
          <w:rStyle w:val="FootnoteReference"/>
          <w:rFonts w:cs="Arial"/>
          <w:sz w:val="24"/>
          <w:szCs w:val="24"/>
          <w:lang w:val="en-US"/>
        </w:rPr>
        <w:footnoteReference w:id="62"/>
      </w:r>
      <w:r w:rsidR="00A12251" w:rsidRPr="002F0BFE">
        <w:rPr>
          <w:rFonts w:cs="Arial"/>
          <w:sz w:val="24"/>
          <w:szCs w:val="24"/>
          <w:lang w:val="en-US"/>
        </w:rPr>
        <w:t>, and domestic building disputes.</w:t>
      </w:r>
      <w:r w:rsidR="00A12251" w:rsidRPr="002F0BFE">
        <w:rPr>
          <w:rStyle w:val="FootnoteReference"/>
          <w:rFonts w:cs="Arial"/>
          <w:sz w:val="24"/>
          <w:szCs w:val="24"/>
          <w:lang w:val="en-US"/>
        </w:rPr>
        <w:footnoteReference w:id="63"/>
      </w:r>
      <w:r w:rsidR="00A12251" w:rsidRPr="002F0BFE">
        <w:rPr>
          <w:rFonts w:cs="Arial"/>
          <w:sz w:val="24"/>
          <w:szCs w:val="24"/>
          <w:lang w:val="en-US"/>
        </w:rPr>
        <w:t xml:space="preserve"> However, the Courts have </w:t>
      </w:r>
      <w:r w:rsidR="000C4760" w:rsidRPr="002F0BFE">
        <w:rPr>
          <w:rFonts w:cs="Arial"/>
          <w:sz w:val="24"/>
          <w:szCs w:val="24"/>
          <w:lang w:val="en-US"/>
        </w:rPr>
        <w:t xml:space="preserve">refrained from taking a </w:t>
      </w:r>
      <w:proofErr w:type="spellStart"/>
      <w:r w:rsidR="000C4760" w:rsidRPr="002F0BFE">
        <w:rPr>
          <w:rFonts w:cs="Arial"/>
          <w:sz w:val="24"/>
          <w:szCs w:val="24"/>
          <w:lang w:val="en-US"/>
        </w:rPr>
        <w:t>categorial</w:t>
      </w:r>
      <w:proofErr w:type="spellEnd"/>
      <w:r w:rsidR="000C4760" w:rsidRPr="002F0BFE">
        <w:rPr>
          <w:rFonts w:cs="Arial"/>
          <w:sz w:val="24"/>
          <w:szCs w:val="24"/>
          <w:lang w:val="en-US"/>
        </w:rPr>
        <w:t xml:space="preserve"> approach, instead</w:t>
      </w:r>
      <w:r w:rsidR="00A12251" w:rsidRPr="002F0BFE">
        <w:rPr>
          <w:rFonts w:cs="Arial"/>
          <w:sz w:val="24"/>
          <w:szCs w:val="24"/>
          <w:lang w:val="en-US"/>
        </w:rPr>
        <w:t xml:space="preserve"> preferr</w:t>
      </w:r>
      <w:r w:rsidR="000C4760" w:rsidRPr="002F0BFE">
        <w:rPr>
          <w:rFonts w:cs="Arial"/>
          <w:sz w:val="24"/>
          <w:szCs w:val="24"/>
          <w:lang w:val="en-US"/>
        </w:rPr>
        <w:t>ing</w:t>
      </w:r>
      <w:r w:rsidR="00A12251" w:rsidRPr="002F0BFE">
        <w:rPr>
          <w:rFonts w:cs="Arial"/>
          <w:sz w:val="24"/>
          <w:szCs w:val="24"/>
          <w:lang w:val="en-US"/>
        </w:rPr>
        <w:t xml:space="preserve"> to consider whether the scope of the arbitration agreement is broad enough to include such disputes, with disputes arising from private </w:t>
      </w:r>
      <w:r w:rsidR="00A12251" w:rsidRPr="002F0BFE">
        <w:rPr>
          <w:rFonts w:cs="Arial"/>
          <w:sz w:val="24"/>
          <w:szCs w:val="24"/>
          <w:lang w:val="en-US"/>
        </w:rPr>
        <w:lastRenderedPageBreak/>
        <w:t xml:space="preserve">contractual interaction between two commercial entities are more likely to be considered </w:t>
      </w:r>
      <w:proofErr w:type="spellStart"/>
      <w:r w:rsidR="00A12251" w:rsidRPr="002F0BFE">
        <w:rPr>
          <w:rFonts w:cs="Arial"/>
          <w:sz w:val="24"/>
          <w:szCs w:val="24"/>
          <w:lang w:val="en-US"/>
        </w:rPr>
        <w:t>arbitrable</w:t>
      </w:r>
      <w:proofErr w:type="spellEnd"/>
      <w:r w:rsidR="00A12251" w:rsidRPr="002F0BFE">
        <w:rPr>
          <w:rFonts w:cs="Arial"/>
          <w:sz w:val="24"/>
          <w:szCs w:val="24"/>
          <w:lang w:val="en-US"/>
        </w:rPr>
        <w:t>.</w:t>
      </w:r>
      <w:r w:rsidR="00A12251" w:rsidRPr="002F0BFE">
        <w:rPr>
          <w:rStyle w:val="FootnoteReference"/>
          <w:rFonts w:cs="Arial"/>
          <w:sz w:val="24"/>
          <w:szCs w:val="24"/>
          <w:lang w:val="en-US"/>
        </w:rPr>
        <w:footnoteReference w:id="64"/>
      </w:r>
    </w:p>
    <w:p w14:paraId="72B9EA7E" w14:textId="20BAE1C4" w:rsidR="00A12251" w:rsidRPr="002F0BFE" w:rsidRDefault="00A12251" w:rsidP="00A12251">
      <w:pPr>
        <w:spacing w:line="360" w:lineRule="auto"/>
        <w:jc w:val="both"/>
        <w:rPr>
          <w:rFonts w:cs="Arial"/>
          <w:sz w:val="24"/>
          <w:szCs w:val="24"/>
          <w:lang w:val="en-US"/>
        </w:rPr>
      </w:pPr>
      <w:r w:rsidRPr="002F0BFE">
        <w:rPr>
          <w:rFonts w:cs="Arial"/>
          <w:sz w:val="24"/>
          <w:szCs w:val="24"/>
          <w:lang w:val="en-US"/>
        </w:rPr>
        <w:t xml:space="preserve">Thus, overall, Australian Courts have a strong history of promoting and supporting the autonomy of arbitral proceedings, limiting their </w:t>
      </w:r>
      <w:r w:rsidR="000C4760" w:rsidRPr="002F0BFE">
        <w:rPr>
          <w:rFonts w:cs="Arial"/>
          <w:sz w:val="24"/>
          <w:szCs w:val="24"/>
          <w:lang w:val="en-US"/>
        </w:rPr>
        <w:t xml:space="preserve">involvement </w:t>
      </w:r>
      <w:r w:rsidRPr="002F0BFE">
        <w:rPr>
          <w:rFonts w:cs="Arial"/>
          <w:sz w:val="24"/>
          <w:szCs w:val="24"/>
          <w:lang w:val="en-US"/>
        </w:rPr>
        <w:t xml:space="preserve">to those situations in which they have been specifically requested to do so by parties or tribunals, and to the limit provided by the applicable laws. </w:t>
      </w:r>
    </w:p>
    <w:p w14:paraId="4F584956" w14:textId="47F966BB" w:rsidR="001721A7" w:rsidRPr="002F0BFE" w:rsidRDefault="001721A7" w:rsidP="008725A9">
      <w:pPr>
        <w:pStyle w:val="Heading2"/>
        <w:rPr>
          <w:rFonts w:cs="Arial"/>
          <w:szCs w:val="24"/>
          <w:lang w:val="en-US"/>
        </w:rPr>
      </w:pPr>
      <w:r w:rsidRPr="002F0BFE">
        <w:rPr>
          <w:rFonts w:cs="Arial"/>
          <w:szCs w:val="24"/>
          <w:lang w:val="en-US"/>
        </w:rPr>
        <w:t>Arbitral Institutions</w:t>
      </w:r>
    </w:p>
    <w:p w14:paraId="6165E939" w14:textId="54DDC44E" w:rsidR="00A12251" w:rsidRPr="002F0BFE" w:rsidRDefault="00A12251" w:rsidP="00A12251">
      <w:pPr>
        <w:spacing w:line="360" w:lineRule="auto"/>
        <w:jc w:val="both"/>
        <w:rPr>
          <w:rFonts w:cs="Arial"/>
          <w:sz w:val="24"/>
          <w:szCs w:val="24"/>
          <w:lang w:val="en-US"/>
        </w:rPr>
      </w:pPr>
      <w:r w:rsidRPr="002F0BFE">
        <w:rPr>
          <w:rFonts w:cs="Arial"/>
          <w:sz w:val="24"/>
          <w:szCs w:val="24"/>
          <w:lang w:val="en-US"/>
        </w:rPr>
        <w:t>That brings me to our institutions and institutional rules - our premier international arbitration institution being ACICA, the Australian Centre for International Commercial Arbitration. The effectiveness of arbitral institutions can be measured by two primary factors, firstly modern institutional rules that deal with the complex arbitration issues of our time, and secondly world class facilities that ensure the smooth conduct of proceedings. Having dealt with the latter earlier, I turn to the ACICA Arbitration Rules a revised version of which came into effect last year on 1 January 2016.</w:t>
      </w:r>
    </w:p>
    <w:p w14:paraId="1DB10D72" w14:textId="5E372951" w:rsidR="00A12251" w:rsidRPr="002F0BFE" w:rsidRDefault="00A12251" w:rsidP="00A12251">
      <w:pPr>
        <w:spacing w:line="360" w:lineRule="auto"/>
        <w:jc w:val="both"/>
        <w:rPr>
          <w:rFonts w:cs="Arial"/>
          <w:sz w:val="24"/>
          <w:szCs w:val="24"/>
          <w:lang w:val="en-US"/>
        </w:rPr>
      </w:pPr>
      <w:r w:rsidRPr="002F0BFE">
        <w:rPr>
          <w:rFonts w:cs="Arial"/>
          <w:sz w:val="24"/>
          <w:szCs w:val="24"/>
          <w:lang w:val="en-US"/>
        </w:rPr>
        <w:t xml:space="preserve">One of the major objectives of the 2016 revisions has been to </w:t>
      </w:r>
      <w:r w:rsidR="000C4760" w:rsidRPr="002F0BFE">
        <w:rPr>
          <w:rFonts w:cs="Arial"/>
          <w:sz w:val="24"/>
          <w:szCs w:val="24"/>
          <w:lang w:val="en-US"/>
        </w:rPr>
        <w:t>contain the</w:t>
      </w:r>
      <w:r w:rsidRPr="002F0BFE">
        <w:rPr>
          <w:rFonts w:cs="Arial"/>
          <w:sz w:val="24"/>
          <w:szCs w:val="24"/>
          <w:lang w:val="en-US"/>
        </w:rPr>
        <w:t xml:space="preserve"> time and cost of international arbitrations. Thus the </w:t>
      </w:r>
      <w:r w:rsidRPr="002F0BFE">
        <w:rPr>
          <w:rFonts w:cs="Arial"/>
          <w:i/>
          <w:sz w:val="24"/>
          <w:szCs w:val="24"/>
          <w:lang w:val="en-US"/>
        </w:rPr>
        <w:t>ACICA Rules</w:t>
      </w:r>
      <w:r w:rsidRPr="002F0BFE">
        <w:rPr>
          <w:rFonts w:cs="Arial"/>
          <w:sz w:val="24"/>
          <w:szCs w:val="24"/>
          <w:lang w:val="en-US"/>
        </w:rPr>
        <w:t xml:space="preserve"> include an "Overriding Objective" to conduct proceedings with fairness and efficiency in proportion with the value and complexity of a given dispute.</w:t>
      </w:r>
      <w:r w:rsidRPr="002F0BFE">
        <w:rPr>
          <w:rStyle w:val="FootnoteReference"/>
          <w:rFonts w:cs="Arial"/>
          <w:sz w:val="24"/>
          <w:szCs w:val="24"/>
          <w:lang w:val="en-US"/>
        </w:rPr>
        <w:footnoteReference w:id="65"/>
      </w:r>
      <w:r w:rsidRPr="002F0BFE">
        <w:rPr>
          <w:rFonts w:cs="Arial"/>
          <w:sz w:val="24"/>
          <w:szCs w:val="24"/>
          <w:lang w:val="en-US"/>
        </w:rPr>
        <w:t xml:space="preserve"> Under these Rules arbitrators are mandated to adopt certain case management practices, such as case management conferencing, and to encourage settlement by the parties.</w:t>
      </w:r>
      <w:r w:rsidRPr="002F0BFE">
        <w:rPr>
          <w:rStyle w:val="FootnoteReference"/>
          <w:rFonts w:cs="Arial"/>
          <w:sz w:val="24"/>
          <w:szCs w:val="24"/>
          <w:lang w:val="en-US"/>
        </w:rPr>
        <w:footnoteReference w:id="66"/>
      </w:r>
      <w:r w:rsidRPr="002F0BFE">
        <w:rPr>
          <w:rFonts w:cs="Arial"/>
          <w:sz w:val="24"/>
          <w:szCs w:val="24"/>
          <w:lang w:val="en-US"/>
        </w:rPr>
        <w:t xml:space="preserve"> ACICA has also sought to facilitate effective consolidation and joinder,</w:t>
      </w:r>
      <w:r w:rsidRPr="002F0BFE">
        <w:rPr>
          <w:rStyle w:val="FootnoteReference"/>
          <w:rFonts w:cs="Arial"/>
          <w:sz w:val="24"/>
          <w:szCs w:val="24"/>
          <w:lang w:val="en-US"/>
        </w:rPr>
        <w:footnoteReference w:id="67"/>
      </w:r>
      <w:r w:rsidRPr="002F0BFE">
        <w:rPr>
          <w:rFonts w:cs="Arial"/>
          <w:sz w:val="24"/>
          <w:szCs w:val="24"/>
          <w:lang w:val="en-US"/>
        </w:rPr>
        <w:t xml:space="preserve"> and to protect arbitrators in the discharge of their functions through a robust immunity.</w:t>
      </w:r>
      <w:r w:rsidRPr="002F0BFE">
        <w:rPr>
          <w:rStyle w:val="FootnoteReference"/>
          <w:rFonts w:cs="Arial"/>
          <w:sz w:val="24"/>
          <w:szCs w:val="24"/>
          <w:lang w:val="en-US"/>
        </w:rPr>
        <w:footnoteReference w:id="68"/>
      </w:r>
      <w:r w:rsidRPr="002F0BFE">
        <w:rPr>
          <w:rFonts w:cs="Arial"/>
          <w:sz w:val="24"/>
          <w:szCs w:val="24"/>
          <w:lang w:val="en-US"/>
        </w:rPr>
        <w:t xml:space="preserve"> Emergency arbitration has, in recent years, become a topical point of discussion for the international arbitration community, and the ACICA Rules provide a solid emergency arbitration framework dealing </w:t>
      </w:r>
      <w:r w:rsidR="004716A2" w:rsidRPr="002F0BFE">
        <w:rPr>
          <w:rFonts w:cs="Arial"/>
          <w:sz w:val="24"/>
          <w:szCs w:val="24"/>
          <w:lang w:val="en-US"/>
        </w:rPr>
        <w:t>with</w:t>
      </w:r>
      <w:r w:rsidRPr="002F0BFE">
        <w:rPr>
          <w:rFonts w:cs="Arial"/>
          <w:sz w:val="24"/>
          <w:szCs w:val="24"/>
          <w:lang w:val="en-US"/>
        </w:rPr>
        <w:t xml:space="preserve"> matters such as emergency arbitrator appointment, emergency interim measures, and the binding and </w:t>
      </w:r>
      <w:r w:rsidRPr="002F0BFE">
        <w:rPr>
          <w:rFonts w:cs="Arial"/>
          <w:sz w:val="24"/>
          <w:szCs w:val="24"/>
          <w:lang w:val="en-US"/>
        </w:rPr>
        <w:lastRenderedPageBreak/>
        <w:t>enforceable effect of emergency decisions.</w:t>
      </w:r>
      <w:r w:rsidRPr="002F0BFE">
        <w:rPr>
          <w:rStyle w:val="FootnoteReference"/>
          <w:rFonts w:cs="Arial"/>
          <w:sz w:val="24"/>
          <w:szCs w:val="24"/>
          <w:lang w:val="en-US"/>
        </w:rPr>
        <w:footnoteReference w:id="69"/>
      </w:r>
      <w:r w:rsidRPr="002F0BFE">
        <w:rPr>
          <w:rFonts w:cs="Arial"/>
          <w:sz w:val="24"/>
          <w:szCs w:val="24"/>
          <w:lang w:val="en-US"/>
        </w:rPr>
        <w:t xml:space="preserve"> Also provided by ACICA are a separate set of </w:t>
      </w:r>
      <w:r w:rsidRPr="002F0BFE">
        <w:rPr>
          <w:rFonts w:cs="Arial"/>
          <w:i/>
          <w:sz w:val="24"/>
          <w:szCs w:val="24"/>
          <w:lang w:val="en-US"/>
        </w:rPr>
        <w:t>Expedited Arbitration Rules</w:t>
      </w:r>
      <w:r w:rsidRPr="002F0BFE">
        <w:rPr>
          <w:rFonts w:cs="Arial"/>
          <w:sz w:val="24"/>
          <w:szCs w:val="24"/>
          <w:lang w:val="en-US"/>
        </w:rPr>
        <w:t xml:space="preserve"> that operate on an opt-in basis to manage arbitration in a quick, cost effective and fair way where time is of the essence. Finally, ACICA's commitment to </w:t>
      </w:r>
      <w:r w:rsidR="004716A2" w:rsidRPr="002F0BFE">
        <w:rPr>
          <w:rFonts w:cs="Arial"/>
          <w:sz w:val="24"/>
          <w:szCs w:val="24"/>
          <w:lang w:val="en-US"/>
        </w:rPr>
        <w:t xml:space="preserve">demonstrate </w:t>
      </w:r>
      <w:r w:rsidRPr="002F0BFE">
        <w:rPr>
          <w:rFonts w:cs="Arial"/>
          <w:sz w:val="24"/>
          <w:szCs w:val="24"/>
          <w:lang w:val="en-US"/>
        </w:rPr>
        <w:t xml:space="preserve">leadership in </w:t>
      </w:r>
      <w:r w:rsidR="004716A2" w:rsidRPr="002F0BFE">
        <w:rPr>
          <w:rFonts w:cs="Arial"/>
          <w:sz w:val="24"/>
          <w:szCs w:val="24"/>
          <w:lang w:val="en-US"/>
        </w:rPr>
        <w:t>the field can be seen</w:t>
      </w:r>
      <w:r w:rsidRPr="002F0BFE">
        <w:rPr>
          <w:rFonts w:cs="Arial"/>
          <w:sz w:val="24"/>
          <w:szCs w:val="24"/>
          <w:lang w:val="en-US"/>
        </w:rPr>
        <w:t xml:space="preserve"> with the publication of its </w:t>
      </w:r>
      <w:r w:rsidRPr="002F0BFE">
        <w:rPr>
          <w:rFonts w:cs="Arial"/>
          <w:i/>
          <w:sz w:val="24"/>
          <w:szCs w:val="24"/>
          <w:lang w:val="en-US"/>
        </w:rPr>
        <w:t xml:space="preserve">Tribunal Secretary Panel and Guidelines, </w:t>
      </w:r>
      <w:r w:rsidRPr="002F0BFE">
        <w:rPr>
          <w:rFonts w:cs="Arial"/>
          <w:sz w:val="24"/>
          <w:szCs w:val="24"/>
          <w:lang w:val="en-US"/>
        </w:rPr>
        <w:t xml:space="preserve">which came into effect on 1 January 2017. The object of the Guidelines is "to encourage transparency with respect to the appointment, duties and remuneration of tribunal secretaries". </w:t>
      </w:r>
    </w:p>
    <w:p w14:paraId="2C5D8ACF" w14:textId="77777777" w:rsidR="00A12251" w:rsidRPr="002F0BFE" w:rsidRDefault="00A12251" w:rsidP="008725A9">
      <w:pPr>
        <w:pStyle w:val="Heading1"/>
        <w:rPr>
          <w:sz w:val="24"/>
          <w:szCs w:val="24"/>
          <w:lang w:val="en-US"/>
        </w:rPr>
      </w:pPr>
      <w:r w:rsidRPr="002F0BFE">
        <w:rPr>
          <w:sz w:val="24"/>
          <w:szCs w:val="24"/>
          <w:lang w:val="en-US"/>
        </w:rPr>
        <w:t xml:space="preserve">Conclusion </w:t>
      </w:r>
    </w:p>
    <w:p w14:paraId="1BA2EA1D" w14:textId="52E80301" w:rsidR="00A12251" w:rsidRPr="002F0BFE" w:rsidRDefault="00A12251" w:rsidP="00A12251">
      <w:pPr>
        <w:spacing w:line="360" w:lineRule="auto"/>
        <w:jc w:val="both"/>
        <w:rPr>
          <w:rFonts w:cs="Arial"/>
          <w:sz w:val="24"/>
          <w:szCs w:val="24"/>
          <w:lang w:val="en-US"/>
        </w:rPr>
      </w:pPr>
      <w:r w:rsidRPr="002F0BFE">
        <w:rPr>
          <w:rFonts w:cs="Arial"/>
          <w:sz w:val="24"/>
          <w:szCs w:val="24"/>
          <w:lang w:val="en-US"/>
        </w:rPr>
        <w:t>Austral</w:t>
      </w:r>
      <w:r w:rsidR="00B2749E" w:rsidRPr="002F0BFE">
        <w:rPr>
          <w:rFonts w:cs="Arial"/>
          <w:sz w:val="24"/>
          <w:szCs w:val="24"/>
          <w:lang w:val="en-US"/>
        </w:rPr>
        <w:t>ia's legal framework supporting</w:t>
      </w:r>
      <w:r w:rsidRPr="002F0BFE">
        <w:rPr>
          <w:rFonts w:cs="Arial"/>
          <w:sz w:val="24"/>
          <w:szCs w:val="24"/>
          <w:lang w:val="en-US"/>
        </w:rPr>
        <w:t xml:space="preserve"> international arbitration is a world-leading one, characterized by a willingness to a</w:t>
      </w:r>
      <w:r w:rsidR="00B2749E" w:rsidRPr="002F0BFE">
        <w:rPr>
          <w:rFonts w:cs="Arial"/>
          <w:sz w:val="24"/>
          <w:szCs w:val="24"/>
          <w:lang w:val="en-US"/>
        </w:rPr>
        <w:t>dapt</w:t>
      </w:r>
      <w:r w:rsidRPr="002F0BFE">
        <w:rPr>
          <w:rFonts w:cs="Arial"/>
          <w:sz w:val="24"/>
          <w:szCs w:val="24"/>
          <w:lang w:val="en-US"/>
        </w:rPr>
        <w:t xml:space="preserve"> to meet </w:t>
      </w:r>
      <w:r w:rsidR="004716A2" w:rsidRPr="002F0BFE">
        <w:rPr>
          <w:rFonts w:cs="Arial"/>
          <w:sz w:val="24"/>
          <w:szCs w:val="24"/>
          <w:lang w:val="en-US"/>
        </w:rPr>
        <w:t>and frequently to</w:t>
      </w:r>
      <w:r w:rsidRPr="002F0BFE">
        <w:rPr>
          <w:rFonts w:cs="Arial"/>
          <w:sz w:val="24"/>
          <w:szCs w:val="24"/>
          <w:lang w:val="en-US"/>
        </w:rPr>
        <w:t xml:space="preserve"> lead international best practice. The combination of a pro-arbitration legislature, an independent and supportive judiciary, and an effective a</w:t>
      </w:r>
      <w:r w:rsidR="00B2749E" w:rsidRPr="002F0BFE">
        <w:rPr>
          <w:rFonts w:cs="Arial"/>
          <w:sz w:val="24"/>
          <w:szCs w:val="24"/>
          <w:lang w:val="en-US"/>
        </w:rPr>
        <w:t>rbitral institution makes Australia</w:t>
      </w:r>
      <w:r w:rsidRPr="002F0BFE">
        <w:rPr>
          <w:rFonts w:cs="Arial"/>
          <w:sz w:val="24"/>
          <w:szCs w:val="24"/>
          <w:lang w:val="en-US"/>
        </w:rPr>
        <w:t xml:space="preserve"> an ideal option for both domestic and international arbitration. </w:t>
      </w:r>
      <w:r w:rsidR="004716A2" w:rsidRPr="002F0BFE">
        <w:rPr>
          <w:rFonts w:cs="Arial"/>
          <w:sz w:val="24"/>
          <w:szCs w:val="24"/>
          <w:lang w:val="en-US"/>
        </w:rPr>
        <w:t>H</w:t>
      </w:r>
      <w:r w:rsidRPr="002F0BFE">
        <w:rPr>
          <w:rFonts w:cs="Arial"/>
          <w:sz w:val="24"/>
          <w:szCs w:val="24"/>
          <w:lang w:val="en-US"/>
        </w:rPr>
        <w:t>aving a stable political landscape and being cost effective, culturally sensitive, and proximate to many of the Asia Pacific's economic hubs goe</w:t>
      </w:r>
      <w:r w:rsidR="00B2749E" w:rsidRPr="002F0BFE">
        <w:rPr>
          <w:rFonts w:cs="Arial"/>
          <w:sz w:val="24"/>
          <w:szCs w:val="24"/>
          <w:lang w:val="en-US"/>
        </w:rPr>
        <w:t>s a long way to promoting it</w:t>
      </w:r>
      <w:r w:rsidRPr="002F0BFE">
        <w:rPr>
          <w:rFonts w:cs="Arial"/>
          <w:sz w:val="24"/>
          <w:szCs w:val="24"/>
          <w:lang w:val="en-US"/>
        </w:rPr>
        <w:t xml:space="preserve"> as a global hub for international arbitration, </w:t>
      </w:r>
      <w:r w:rsidR="004716A2" w:rsidRPr="002F0BFE">
        <w:rPr>
          <w:rFonts w:cs="Arial"/>
          <w:sz w:val="24"/>
          <w:szCs w:val="24"/>
          <w:lang w:val="en-US"/>
        </w:rPr>
        <w:t>and to all that may be added</w:t>
      </w:r>
      <w:r w:rsidRPr="002F0BFE">
        <w:rPr>
          <w:rFonts w:cs="Arial"/>
          <w:sz w:val="24"/>
          <w:szCs w:val="24"/>
          <w:lang w:val="en-US"/>
        </w:rPr>
        <w:t xml:space="preserve"> our pristine beaches</w:t>
      </w:r>
      <w:r w:rsidR="00B2749E" w:rsidRPr="002F0BFE">
        <w:rPr>
          <w:rFonts w:cs="Arial"/>
          <w:sz w:val="24"/>
          <w:szCs w:val="24"/>
          <w:lang w:val="en-US"/>
        </w:rPr>
        <w:t>,</w:t>
      </w:r>
      <w:r w:rsidRPr="002F0BFE">
        <w:rPr>
          <w:rFonts w:cs="Arial"/>
          <w:sz w:val="24"/>
          <w:szCs w:val="24"/>
          <w:lang w:val="en-US"/>
        </w:rPr>
        <w:t xml:space="preserve"> </w:t>
      </w:r>
      <w:r w:rsidR="004716A2" w:rsidRPr="002F0BFE">
        <w:rPr>
          <w:rFonts w:cs="Arial"/>
          <w:sz w:val="24"/>
          <w:szCs w:val="24"/>
          <w:lang w:val="en-US"/>
        </w:rPr>
        <w:t xml:space="preserve">excellent </w:t>
      </w:r>
      <w:r w:rsidRPr="002F0BFE">
        <w:rPr>
          <w:rFonts w:cs="Arial"/>
          <w:sz w:val="24"/>
          <w:szCs w:val="24"/>
          <w:lang w:val="en-US"/>
        </w:rPr>
        <w:t>restaurants</w:t>
      </w:r>
      <w:r w:rsidR="004716A2" w:rsidRPr="002F0BFE">
        <w:rPr>
          <w:rFonts w:cs="Arial"/>
          <w:sz w:val="24"/>
          <w:szCs w:val="24"/>
          <w:lang w:val="en-US"/>
        </w:rPr>
        <w:t>, wonderful coffee</w:t>
      </w:r>
      <w:r w:rsidR="00B2749E" w:rsidRPr="002F0BFE">
        <w:rPr>
          <w:rFonts w:cs="Arial"/>
          <w:sz w:val="24"/>
          <w:szCs w:val="24"/>
          <w:lang w:val="en-US"/>
        </w:rPr>
        <w:t xml:space="preserve"> and welcoming people</w:t>
      </w:r>
      <w:r w:rsidRPr="002F0BFE">
        <w:rPr>
          <w:rFonts w:cs="Arial"/>
          <w:sz w:val="24"/>
          <w:szCs w:val="24"/>
          <w:lang w:val="en-US"/>
        </w:rPr>
        <w:t>. I do</w:t>
      </w:r>
      <w:r w:rsidR="00B2749E" w:rsidRPr="002F0BFE">
        <w:rPr>
          <w:rFonts w:cs="Arial"/>
          <w:sz w:val="24"/>
          <w:szCs w:val="24"/>
          <w:lang w:val="en-US"/>
        </w:rPr>
        <w:t xml:space="preserve"> not hesitate to say that Australia</w:t>
      </w:r>
      <w:r w:rsidRPr="002F0BFE">
        <w:rPr>
          <w:rFonts w:cs="Arial"/>
          <w:sz w:val="24"/>
          <w:szCs w:val="24"/>
          <w:lang w:val="en-US"/>
        </w:rPr>
        <w:t xml:space="preserve"> is in a prime position to lead international arbitration in the Asia Pacific given all of these qualities</w:t>
      </w:r>
      <w:r w:rsidR="00B2749E" w:rsidRPr="002F0BFE">
        <w:rPr>
          <w:rFonts w:cs="Arial"/>
          <w:sz w:val="24"/>
          <w:szCs w:val="24"/>
          <w:lang w:val="en-US"/>
        </w:rPr>
        <w:t>. I am delighted</w:t>
      </w:r>
      <w:r w:rsidRPr="002F0BFE">
        <w:rPr>
          <w:rFonts w:cs="Arial"/>
          <w:sz w:val="24"/>
          <w:szCs w:val="24"/>
          <w:lang w:val="en-US"/>
        </w:rPr>
        <w:t xml:space="preserve"> therefore </w:t>
      </w:r>
      <w:r w:rsidR="00B2749E" w:rsidRPr="002F0BFE">
        <w:rPr>
          <w:rFonts w:cs="Arial"/>
          <w:sz w:val="24"/>
          <w:szCs w:val="24"/>
          <w:lang w:val="en-US"/>
        </w:rPr>
        <w:t xml:space="preserve">that </w:t>
      </w:r>
      <w:r w:rsidRPr="002F0BFE">
        <w:rPr>
          <w:rFonts w:cs="Arial"/>
          <w:sz w:val="24"/>
          <w:szCs w:val="24"/>
          <w:lang w:val="en-US"/>
        </w:rPr>
        <w:t>internation</w:t>
      </w:r>
      <w:r w:rsidR="00B2749E" w:rsidRPr="002F0BFE">
        <w:rPr>
          <w:rFonts w:cs="Arial"/>
          <w:sz w:val="24"/>
          <w:szCs w:val="24"/>
          <w:lang w:val="en-US"/>
        </w:rPr>
        <w:t>al networking events such as</w:t>
      </w:r>
      <w:r w:rsidRPr="002F0BFE">
        <w:rPr>
          <w:rFonts w:cs="Arial"/>
          <w:sz w:val="24"/>
          <w:szCs w:val="24"/>
          <w:lang w:val="en-US"/>
        </w:rPr>
        <w:t xml:space="preserve"> </w:t>
      </w:r>
      <w:proofErr w:type="spellStart"/>
      <w:r w:rsidR="00B2749E" w:rsidRPr="002F0BFE">
        <w:rPr>
          <w:rFonts w:cs="Arial"/>
          <w:i/>
          <w:sz w:val="24"/>
          <w:szCs w:val="24"/>
          <w:lang w:val="en-US"/>
        </w:rPr>
        <w:t>Auatralian</w:t>
      </w:r>
      <w:proofErr w:type="spellEnd"/>
      <w:r w:rsidRPr="002F0BFE">
        <w:rPr>
          <w:rFonts w:cs="Arial"/>
          <w:i/>
          <w:sz w:val="24"/>
          <w:szCs w:val="24"/>
          <w:lang w:val="en-US"/>
        </w:rPr>
        <w:t xml:space="preserve"> International Arbitration Week</w:t>
      </w:r>
      <w:r w:rsidR="00B2749E" w:rsidRPr="002F0BFE">
        <w:rPr>
          <w:rFonts w:cs="Arial"/>
          <w:i/>
          <w:sz w:val="24"/>
          <w:szCs w:val="24"/>
          <w:lang w:val="en-US"/>
        </w:rPr>
        <w:t xml:space="preserve"> </w:t>
      </w:r>
      <w:r w:rsidR="00B2749E" w:rsidRPr="002F0BFE">
        <w:rPr>
          <w:rFonts w:cs="Arial"/>
          <w:sz w:val="24"/>
          <w:szCs w:val="24"/>
          <w:lang w:val="en-US"/>
        </w:rPr>
        <w:t>(in Perth this year)</w:t>
      </w:r>
      <w:r w:rsidR="00B2749E" w:rsidRPr="002F0BFE">
        <w:rPr>
          <w:rFonts w:cs="Arial"/>
          <w:i/>
          <w:sz w:val="24"/>
          <w:szCs w:val="24"/>
          <w:lang w:val="en-US"/>
        </w:rPr>
        <w:t>,</w:t>
      </w:r>
      <w:r w:rsidRPr="002F0BFE">
        <w:rPr>
          <w:rFonts w:cs="Arial"/>
          <w:sz w:val="24"/>
          <w:szCs w:val="24"/>
          <w:lang w:val="en-US"/>
        </w:rPr>
        <w:t xml:space="preserve"> the </w:t>
      </w:r>
      <w:r w:rsidRPr="002F0BFE">
        <w:rPr>
          <w:rFonts w:cs="Arial"/>
          <w:i/>
          <w:sz w:val="24"/>
          <w:szCs w:val="24"/>
          <w:lang w:val="en-US"/>
        </w:rPr>
        <w:t>IBA Conference</w:t>
      </w:r>
      <w:r w:rsidR="00B2749E" w:rsidRPr="002F0BFE">
        <w:rPr>
          <w:rFonts w:cs="Arial"/>
          <w:i/>
          <w:sz w:val="24"/>
          <w:szCs w:val="24"/>
          <w:lang w:val="en-US"/>
        </w:rPr>
        <w:t xml:space="preserve">, </w:t>
      </w:r>
      <w:r w:rsidR="00B2749E" w:rsidRPr="002F0BFE">
        <w:rPr>
          <w:rFonts w:cs="Arial"/>
          <w:sz w:val="24"/>
          <w:szCs w:val="24"/>
          <w:lang w:val="en-US"/>
        </w:rPr>
        <w:t>and</w:t>
      </w:r>
      <w:r w:rsidR="00B2749E" w:rsidRPr="002F0BFE">
        <w:rPr>
          <w:rFonts w:cs="Arial"/>
          <w:i/>
          <w:sz w:val="24"/>
          <w:szCs w:val="24"/>
          <w:lang w:val="en-US"/>
        </w:rPr>
        <w:t xml:space="preserve"> ICCA Sydney 2018,</w:t>
      </w:r>
      <w:r w:rsidRPr="002F0BFE">
        <w:rPr>
          <w:rFonts w:cs="Arial"/>
          <w:sz w:val="24"/>
          <w:szCs w:val="24"/>
          <w:lang w:val="en-US"/>
        </w:rPr>
        <w:t xml:space="preserve"> offer the opportunity to spread the word to the world</w:t>
      </w:r>
      <w:r w:rsidR="00B2749E" w:rsidRPr="002F0BFE">
        <w:rPr>
          <w:rFonts w:cs="Arial"/>
          <w:sz w:val="24"/>
          <w:szCs w:val="24"/>
          <w:lang w:val="en-US"/>
        </w:rPr>
        <w:t>.</w:t>
      </w:r>
      <w:r w:rsidRPr="002F0BFE">
        <w:rPr>
          <w:rFonts w:cs="Arial"/>
          <w:sz w:val="24"/>
          <w:szCs w:val="24"/>
          <w:lang w:val="en-US"/>
        </w:rPr>
        <w:t xml:space="preserve"> In my view, the tyranny of distance is outmatched by the real capabilities provided by Australian Arbitration, and </w:t>
      </w:r>
      <w:r w:rsidR="004716A2" w:rsidRPr="002F0BFE">
        <w:rPr>
          <w:rFonts w:cs="Arial"/>
          <w:sz w:val="24"/>
          <w:szCs w:val="24"/>
          <w:lang w:val="en-US"/>
        </w:rPr>
        <w:t>I am delighted to have had the opportunity to share them with you</w:t>
      </w:r>
      <w:r w:rsidRPr="002F0BFE">
        <w:rPr>
          <w:rFonts w:cs="Arial"/>
          <w:sz w:val="24"/>
          <w:szCs w:val="24"/>
          <w:lang w:val="en-US"/>
        </w:rPr>
        <w:t xml:space="preserve">. </w:t>
      </w:r>
    </w:p>
    <w:p w14:paraId="08E02D30" w14:textId="77777777" w:rsidR="00A12251" w:rsidRPr="002F0BFE" w:rsidRDefault="00A12251" w:rsidP="00A12251">
      <w:pPr>
        <w:spacing w:line="360" w:lineRule="auto"/>
        <w:jc w:val="both"/>
        <w:rPr>
          <w:rFonts w:cs="Arial"/>
          <w:sz w:val="24"/>
          <w:szCs w:val="24"/>
        </w:rPr>
      </w:pPr>
    </w:p>
    <w:p w14:paraId="1B3232C0" w14:textId="77777777" w:rsidR="00216C00" w:rsidRPr="002F0BFE" w:rsidRDefault="00216C00" w:rsidP="00A12251">
      <w:pPr>
        <w:spacing w:line="360" w:lineRule="auto"/>
        <w:jc w:val="both"/>
        <w:rPr>
          <w:rFonts w:cs="Arial"/>
          <w:sz w:val="24"/>
          <w:szCs w:val="24"/>
        </w:rPr>
      </w:pPr>
    </w:p>
    <w:p w14:paraId="6FD1BEF2" w14:textId="77777777" w:rsidR="007146B9" w:rsidRPr="002F0BFE" w:rsidRDefault="007146B9" w:rsidP="00A12251">
      <w:pPr>
        <w:spacing w:line="360" w:lineRule="auto"/>
        <w:jc w:val="both"/>
        <w:rPr>
          <w:rFonts w:cs="Arial"/>
          <w:sz w:val="24"/>
          <w:szCs w:val="24"/>
        </w:rPr>
      </w:pPr>
    </w:p>
    <w:p w14:paraId="5C9749E4" w14:textId="77777777" w:rsidR="002E4C47" w:rsidRPr="002F0BFE" w:rsidRDefault="002E4C47" w:rsidP="00A12251">
      <w:pPr>
        <w:spacing w:line="360" w:lineRule="auto"/>
        <w:jc w:val="both"/>
        <w:rPr>
          <w:rFonts w:cs="Arial"/>
          <w:sz w:val="24"/>
          <w:szCs w:val="24"/>
        </w:rPr>
      </w:pPr>
    </w:p>
    <w:p w14:paraId="32FA92F6" w14:textId="77777777" w:rsidR="002E4C47" w:rsidRPr="002F0BFE" w:rsidRDefault="002E4C47" w:rsidP="00A12251">
      <w:pPr>
        <w:spacing w:line="360" w:lineRule="auto"/>
        <w:jc w:val="both"/>
        <w:rPr>
          <w:rFonts w:cs="Arial"/>
          <w:sz w:val="24"/>
          <w:szCs w:val="24"/>
        </w:rPr>
      </w:pPr>
    </w:p>
    <w:p w14:paraId="51E4A6C1" w14:textId="77777777" w:rsidR="00157839" w:rsidRPr="002F0BFE" w:rsidRDefault="00B82A5A" w:rsidP="00A12251">
      <w:pPr>
        <w:spacing w:line="360" w:lineRule="auto"/>
        <w:jc w:val="both"/>
        <w:rPr>
          <w:rFonts w:cs="Arial"/>
          <w:sz w:val="24"/>
          <w:szCs w:val="24"/>
        </w:rPr>
      </w:pPr>
      <w:r w:rsidRPr="002F0BFE">
        <w:rPr>
          <w:rFonts w:cs="Arial"/>
          <w:sz w:val="24"/>
          <w:szCs w:val="24"/>
        </w:rPr>
        <w:lastRenderedPageBreak/>
        <w:t>.</w:t>
      </w:r>
    </w:p>
    <w:p w14:paraId="4BDE2D94" w14:textId="77777777" w:rsidR="000959E0" w:rsidRPr="002F0BFE" w:rsidRDefault="000959E0" w:rsidP="00A12251">
      <w:pPr>
        <w:spacing w:line="360" w:lineRule="auto"/>
        <w:jc w:val="both"/>
        <w:rPr>
          <w:rFonts w:cs="Arial"/>
          <w:sz w:val="24"/>
          <w:szCs w:val="24"/>
        </w:rPr>
      </w:pPr>
    </w:p>
    <w:p w14:paraId="25875D16" w14:textId="77777777" w:rsidR="000959E0" w:rsidRPr="002F0BFE" w:rsidRDefault="000959E0" w:rsidP="00A12251">
      <w:pPr>
        <w:spacing w:line="360" w:lineRule="auto"/>
        <w:jc w:val="both"/>
        <w:rPr>
          <w:rFonts w:cs="Arial"/>
          <w:sz w:val="24"/>
          <w:szCs w:val="24"/>
        </w:rPr>
      </w:pPr>
    </w:p>
    <w:sectPr w:rsidR="000959E0" w:rsidRPr="002F0BFE" w:rsidSect="008F3D1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paperSrc w:first="15" w:other="15"/>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16B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1F0781" w16cid:durableId="1D7E8C16"/>
  <w16cid:commentId w16cid:paraId="573130E3" w16cid:durableId="1D7E8A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638B" w14:textId="77777777" w:rsidR="00566607" w:rsidRDefault="00566607" w:rsidP="00E3422C">
      <w:pPr>
        <w:spacing w:after="0"/>
      </w:pPr>
      <w:r>
        <w:separator/>
      </w:r>
    </w:p>
  </w:endnote>
  <w:endnote w:type="continuationSeparator" w:id="0">
    <w:p w14:paraId="654C4BCA" w14:textId="77777777" w:rsidR="00566607" w:rsidRDefault="00566607"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CDC73" w14:textId="77777777" w:rsidR="00BB70DF" w:rsidRDefault="00A55FD0">
    <w:r>
      <w:fldChar w:fldCharType="begin" w:fldLock="1"/>
    </w:r>
    <w:r>
      <w:instrText xml:space="preserve"> DOCVARIABLE  CUFooterText \* MERGEFORMAT </w:instrText>
    </w:r>
    <w:r>
      <w:fldChar w:fldCharType="separate"/>
    </w:r>
    <w:r w:rsidR="002F0BFE">
      <w:t>L\324275432.1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9226D" w14:textId="77777777" w:rsidR="00F43F16" w:rsidRDefault="00A55FD0">
    <w:pPr>
      <w:pStyle w:val="Footer"/>
    </w:pPr>
    <w:r>
      <w:fldChar w:fldCharType="begin" w:fldLock="1"/>
    </w:r>
    <w:r>
      <w:instrText xml:space="preserve"> DOCVARIABLE  CUFooterText \* MERGEFORMAT </w:instrText>
    </w:r>
    <w:r>
      <w:fldChar w:fldCharType="separate"/>
    </w:r>
    <w:r w:rsidR="002F0BFE">
      <w:t>L\324275432.1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D4F2D" w14:textId="77777777" w:rsidR="00BB70DF" w:rsidRDefault="00A55FD0">
    <w:r>
      <w:fldChar w:fldCharType="begin" w:fldLock="1"/>
    </w:r>
    <w:r>
      <w:instrText xml:space="preserve"> DOCVARIABLE  CUFooterText \* MERGEFORMAT </w:instrText>
    </w:r>
    <w:r>
      <w:fldChar w:fldCharType="separate"/>
    </w:r>
    <w:r w:rsidR="002F0BFE">
      <w:t>L\324275432.1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55736" w14:textId="77777777" w:rsidR="00566607" w:rsidRDefault="00566607" w:rsidP="00E3422C">
      <w:pPr>
        <w:spacing w:after="0"/>
      </w:pPr>
      <w:r>
        <w:separator/>
      </w:r>
    </w:p>
  </w:footnote>
  <w:footnote w:type="continuationSeparator" w:id="0">
    <w:p w14:paraId="5BF960B5" w14:textId="77777777" w:rsidR="00566607" w:rsidRDefault="00566607" w:rsidP="00E3422C">
      <w:pPr>
        <w:spacing w:after="0"/>
      </w:pPr>
      <w:r>
        <w:continuationSeparator/>
      </w:r>
    </w:p>
  </w:footnote>
  <w:footnote w:id="1">
    <w:p w14:paraId="1910C6C6" w14:textId="77777777" w:rsidR="009F4E8F" w:rsidRDefault="009F4E8F" w:rsidP="009F4E8F">
      <w:pPr>
        <w:pStyle w:val="FootnoteText"/>
      </w:pPr>
      <w:r>
        <w:rPr>
          <w:rStyle w:val="FootnoteReference"/>
        </w:rPr>
        <w:footnoteRef/>
      </w:r>
      <w:r>
        <w:t xml:space="preserve"> </w:t>
      </w:r>
      <w:r w:rsidRPr="00ED39F2">
        <w:t>International Arbitrator</w:t>
      </w:r>
      <w:r>
        <w:t xml:space="preserve">, </w:t>
      </w:r>
      <w:proofErr w:type="spellStart"/>
      <w:r w:rsidRPr="00ED39F2">
        <w:t>CArb</w:t>
      </w:r>
      <w:proofErr w:type="spellEnd"/>
      <w:r w:rsidRPr="00ED39F2">
        <w:t xml:space="preserve"> </w:t>
      </w:r>
      <w:r>
        <w:t>(</w:t>
      </w:r>
      <w:hyperlink r:id="rId1" w:history="1">
        <w:r w:rsidRPr="00BF30A0">
          <w:rPr>
            <w:rStyle w:val="Hyperlink"/>
          </w:rPr>
          <w:t>www.dougjones.info</w:t>
        </w:r>
      </w:hyperlink>
      <w:r>
        <w:t xml:space="preserve"> )</w:t>
      </w:r>
      <w:r w:rsidRPr="00ED39F2">
        <w:t>. The</w:t>
      </w:r>
      <w:r>
        <w:t xml:space="preserve"> </w:t>
      </w:r>
      <w:r w:rsidRPr="00ED39F2">
        <w:t xml:space="preserve">author </w:t>
      </w:r>
      <w:r>
        <w:t>gratefully acknowledges</w:t>
      </w:r>
      <w:r w:rsidRPr="00ED39F2">
        <w:t xml:space="preserve"> the assistance provided in the preparation of this address by my legal assistant</w:t>
      </w:r>
      <w:r w:rsidR="00A12251">
        <w:t>s</w:t>
      </w:r>
      <w:r>
        <w:t>, Jason Corbett</w:t>
      </w:r>
      <w:r w:rsidR="00A12251">
        <w:t xml:space="preserve"> and Jonathon Hetherington</w:t>
      </w:r>
      <w:r>
        <w:t xml:space="preserve">. </w:t>
      </w:r>
    </w:p>
  </w:footnote>
  <w:footnote w:id="2">
    <w:p w14:paraId="33A66C34" w14:textId="77777777" w:rsidR="007A4900" w:rsidRPr="007A4900" w:rsidRDefault="007A4900">
      <w:pPr>
        <w:pStyle w:val="FootnoteText"/>
      </w:pPr>
      <w:r>
        <w:rPr>
          <w:rStyle w:val="FootnoteReference"/>
        </w:rPr>
        <w:footnoteRef/>
      </w:r>
      <w:r>
        <w:t xml:space="preserve"> China Development Institute and Z/Yen, </w:t>
      </w:r>
      <w:r>
        <w:rPr>
          <w:i/>
        </w:rPr>
        <w:t>Global Financial Centres Index 21</w:t>
      </w:r>
      <w:r>
        <w:t xml:space="preserve"> (March 2017), </w:t>
      </w:r>
      <w:proofErr w:type="spellStart"/>
      <w:r>
        <w:t>pg</w:t>
      </w:r>
      <w:proofErr w:type="spellEnd"/>
      <w:r>
        <w:t xml:space="preserve"> 4.</w:t>
      </w:r>
    </w:p>
  </w:footnote>
  <w:footnote w:id="3">
    <w:p w14:paraId="1291CB4E" w14:textId="77777777" w:rsidR="007A4900" w:rsidRDefault="007A4900">
      <w:pPr>
        <w:pStyle w:val="FootnoteText"/>
      </w:pPr>
      <w:r>
        <w:rPr>
          <w:rStyle w:val="FootnoteReference"/>
        </w:rPr>
        <w:footnoteRef/>
      </w:r>
      <w:r>
        <w:t xml:space="preserve"> Ibid, </w:t>
      </w:r>
      <w:proofErr w:type="spellStart"/>
      <w:r>
        <w:t>pg</w:t>
      </w:r>
      <w:proofErr w:type="spellEnd"/>
      <w:r>
        <w:t xml:space="preserve"> 18. </w:t>
      </w:r>
    </w:p>
  </w:footnote>
  <w:footnote w:id="4">
    <w:p w14:paraId="7E311C97" w14:textId="77777777" w:rsidR="00BC70DC" w:rsidRDefault="00BC70DC">
      <w:pPr>
        <w:pStyle w:val="FootnoteText"/>
      </w:pPr>
      <w:r>
        <w:rPr>
          <w:rStyle w:val="FootnoteReference"/>
        </w:rPr>
        <w:footnoteRef/>
      </w:r>
      <w:r>
        <w:t xml:space="preserve"> </w:t>
      </w:r>
      <w:r w:rsidR="00F27DE7">
        <w:t xml:space="preserve">Australian Bureau of Statistics: </w:t>
      </w:r>
      <w:hyperlink r:id="rId2" w:history="1">
        <w:r w:rsidR="00F27DE7" w:rsidRPr="00756B6E">
          <w:rPr>
            <w:rStyle w:val="Hyperlink"/>
          </w:rPr>
          <w:t>http://www.abs.gov.au/ausstats/abs@.nsf/mf/5206.0</w:t>
        </w:r>
      </w:hyperlink>
      <w:r w:rsidR="00F27DE7">
        <w:t xml:space="preserve"> </w:t>
      </w:r>
    </w:p>
  </w:footnote>
  <w:footnote w:id="5">
    <w:p w14:paraId="2A27EDE1" w14:textId="77777777" w:rsidR="000366B6" w:rsidRPr="00455839" w:rsidRDefault="000366B6" w:rsidP="000366B6">
      <w:pPr>
        <w:pStyle w:val="FootnoteText"/>
      </w:pPr>
      <w:r>
        <w:rPr>
          <w:rStyle w:val="FootnoteReference"/>
        </w:rPr>
        <w:footnoteRef/>
      </w:r>
      <w:r>
        <w:t xml:space="preserve"> Geoffrey </w:t>
      </w:r>
      <w:proofErr w:type="spellStart"/>
      <w:r>
        <w:t>Blainey</w:t>
      </w:r>
      <w:proofErr w:type="spellEnd"/>
      <w:r>
        <w:t xml:space="preserve">, </w:t>
      </w:r>
      <w:r>
        <w:rPr>
          <w:i/>
        </w:rPr>
        <w:t xml:space="preserve">The Tyranny of Distance </w:t>
      </w:r>
      <w:r>
        <w:t xml:space="preserve">(Pan </w:t>
      </w:r>
      <w:proofErr w:type="spellStart"/>
      <w:r>
        <w:t>MacMillian</w:t>
      </w:r>
      <w:proofErr w:type="spellEnd"/>
      <w:r>
        <w:t xml:space="preserve"> Australia, 21st Century Edition, 2001) </w:t>
      </w:r>
    </w:p>
  </w:footnote>
  <w:footnote w:id="6">
    <w:p w14:paraId="5C1BD7D7" w14:textId="77777777" w:rsidR="000366B6" w:rsidRDefault="000366B6" w:rsidP="000366B6">
      <w:pPr>
        <w:pStyle w:val="FootnoteText"/>
      </w:pPr>
      <w:r>
        <w:rPr>
          <w:rStyle w:val="FootnoteReference"/>
        </w:rPr>
        <w:footnoteRef/>
      </w:r>
      <w:r>
        <w:t xml:space="preserve"> Ibid 40-45.</w:t>
      </w:r>
    </w:p>
  </w:footnote>
  <w:footnote w:id="7">
    <w:p w14:paraId="51D28EE0" w14:textId="77777777" w:rsidR="0070595A" w:rsidRDefault="0070595A" w:rsidP="0070595A">
      <w:pPr>
        <w:pStyle w:val="FootnoteText"/>
      </w:pPr>
      <w:r>
        <w:rPr>
          <w:rStyle w:val="FootnoteReference"/>
        </w:rPr>
        <w:footnoteRef/>
      </w:r>
      <w:r>
        <w:t xml:space="preserve"> Ibid 121-123.</w:t>
      </w:r>
    </w:p>
  </w:footnote>
  <w:footnote w:id="8">
    <w:p w14:paraId="15C018F8" w14:textId="77777777" w:rsidR="0070595A" w:rsidRDefault="0070595A" w:rsidP="0070595A">
      <w:pPr>
        <w:pStyle w:val="FootnoteText"/>
      </w:pPr>
      <w:r>
        <w:rPr>
          <w:rStyle w:val="FootnoteReference"/>
        </w:rPr>
        <w:footnoteRef/>
      </w:r>
      <w:r>
        <w:t xml:space="preserve"> Ibid 125, 129.</w:t>
      </w:r>
    </w:p>
  </w:footnote>
  <w:footnote w:id="9">
    <w:p w14:paraId="34B5FE86" w14:textId="77777777" w:rsidR="00FD6624" w:rsidRDefault="00FD6624" w:rsidP="00FD6624">
      <w:pPr>
        <w:pStyle w:val="FootnoteText"/>
      </w:pPr>
      <w:r>
        <w:rPr>
          <w:rStyle w:val="FootnoteReference"/>
        </w:rPr>
        <w:footnoteRef/>
      </w:r>
      <w:r>
        <w:t xml:space="preserve"> Ibid 350.</w:t>
      </w:r>
    </w:p>
  </w:footnote>
  <w:footnote w:id="10">
    <w:p w14:paraId="6A564579" w14:textId="4F46B2F0" w:rsidR="0087368A" w:rsidRDefault="0087368A">
      <w:pPr>
        <w:pStyle w:val="FootnoteText"/>
      </w:pPr>
      <w:r>
        <w:rPr>
          <w:rStyle w:val="FootnoteReference"/>
        </w:rPr>
        <w:footnoteRef/>
      </w:r>
      <w:r>
        <w:t xml:space="preserve"> </w:t>
      </w:r>
      <w:r w:rsidR="0035284D">
        <w:t xml:space="preserve">SIAC, </w:t>
      </w:r>
      <w:r w:rsidR="0035284D" w:rsidRPr="00A06224">
        <w:rPr>
          <w:i/>
        </w:rPr>
        <w:t>SIAC Annual Report 2016</w:t>
      </w:r>
      <w:r w:rsidR="0035284D">
        <w:t xml:space="preserve">, </w:t>
      </w:r>
      <w:proofErr w:type="spellStart"/>
      <w:r w:rsidR="0035284D">
        <w:t>pg</w:t>
      </w:r>
      <w:proofErr w:type="spellEnd"/>
      <w:r w:rsidR="00446F3C">
        <w:t xml:space="preserve"> 14</w:t>
      </w:r>
      <w:r w:rsidR="005D3369">
        <w:t>;</w:t>
      </w:r>
      <w:r w:rsidR="0035284D">
        <w:t xml:space="preserve"> </w:t>
      </w:r>
      <w:r w:rsidR="007403D8">
        <w:t>HKIAC</w:t>
      </w:r>
      <w:r w:rsidR="0035284D">
        <w:t xml:space="preserve">,  </w:t>
      </w:r>
      <w:r w:rsidR="007403D8">
        <w:rPr>
          <w:i/>
        </w:rPr>
        <w:t>HKIAC</w:t>
      </w:r>
      <w:r w:rsidR="0035284D" w:rsidRPr="00A06224">
        <w:rPr>
          <w:i/>
        </w:rPr>
        <w:t xml:space="preserve"> Annual Report 201</w:t>
      </w:r>
      <w:r w:rsidR="007403D8">
        <w:rPr>
          <w:i/>
        </w:rPr>
        <w:t>5</w:t>
      </w:r>
      <w:r w:rsidR="0035284D">
        <w:t xml:space="preserve"> </w:t>
      </w:r>
      <w:proofErr w:type="spellStart"/>
      <w:r w:rsidR="0035284D">
        <w:t>pg</w:t>
      </w:r>
      <w:proofErr w:type="spellEnd"/>
      <w:r w:rsidR="005D3369">
        <w:t xml:space="preserve"> </w:t>
      </w:r>
      <w:r w:rsidR="007403D8">
        <w:t>8</w:t>
      </w:r>
      <w:r w:rsidR="005D3369">
        <w:t>.</w:t>
      </w:r>
    </w:p>
  </w:footnote>
  <w:footnote w:id="11">
    <w:p w14:paraId="0AB41677" w14:textId="77777777" w:rsidR="0087368A" w:rsidRDefault="0087368A">
      <w:pPr>
        <w:pStyle w:val="FootnoteText"/>
      </w:pPr>
      <w:r>
        <w:rPr>
          <w:rStyle w:val="FootnoteReference"/>
        </w:rPr>
        <w:footnoteRef/>
      </w:r>
      <w:r>
        <w:t xml:space="preserve"> </w:t>
      </w:r>
      <w:r w:rsidR="0035284D">
        <w:t xml:space="preserve">LCIA, </w:t>
      </w:r>
      <w:r w:rsidRPr="00A06224">
        <w:rPr>
          <w:i/>
        </w:rPr>
        <w:t>LCIA Annual Report 2016</w:t>
      </w:r>
      <w:r w:rsidR="00446F3C">
        <w:t>,</w:t>
      </w:r>
      <w:r w:rsidR="000257D0">
        <w:t xml:space="preserve"> </w:t>
      </w:r>
      <w:proofErr w:type="spellStart"/>
      <w:r w:rsidR="000257D0">
        <w:t>p</w:t>
      </w:r>
      <w:r w:rsidR="0035284D">
        <w:t>g</w:t>
      </w:r>
      <w:proofErr w:type="spellEnd"/>
      <w:r w:rsidR="000257D0">
        <w:t xml:space="preserve"> 8.</w:t>
      </w:r>
    </w:p>
  </w:footnote>
  <w:footnote w:id="12">
    <w:p w14:paraId="43701041" w14:textId="7EC4786A" w:rsidR="007A2534" w:rsidRPr="007A2534" w:rsidRDefault="007A2534">
      <w:pPr>
        <w:pStyle w:val="FootnoteText"/>
      </w:pPr>
      <w:r>
        <w:rPr>
          <w:rStyle w:val="FootnoteReference"/>
        </w:rPr>
        <w:footnoteRef/>
      </w:r>
      <w:r>
        <w:t xml:space="preserve"> International Chamber of Commerce, </w:t>
      </w:r>
      <w:r>
        <w:rPr>
          <w:i/>
        </w:rPr>
        <w:t>ICC Reveals Record Number of New Cases filed in 2016</w:t>
      </w:r>
      <w:r>
        <w:t xml:space="preserve"> (18 January 2017) International Chamber of Commerce &lt; </w:t>
      </w:r>
      <w:hyperlink r:id="rId3" w:history="1">
        <w:r w:rsidRPr="00DE27EB">
          <w:rPr>
            <w:rStyle w:val="Hyperlink"/>
          </w:rPr>
          <w:t>https://iccwbo.org/media-wall/news-speeches/icc-reveals-record-number-new-arbitration-cases-filed-2016/</w:t>
        </w:r>
      </w:hyperlink>
      <w:r>
        <w:t xml:space="preserve"> &gt;.</w:t>
      </w:r>
    </w:p>
  </w:footnote>
  <w:footnote w:id="13">
    <w:p w14:paraId="39CE8F19" w14:textId="77777777" w:rsidR="007C3491" w:rsidRDefault="007C3491">
      <w:pPr>
        <w:pStyle w:val="FootnoteText"/>
      </w:pPr>
      <w:r>
        <w:rPr>
          <w:rStyle w:val="FootnoteReference"/>
        </w:rPr>
        <w:footnoteRef/>
      </w:r>
      <w:r>
        <w:t xml:space="preserve"> </w:t>
      </w:r>
      <w:r w:rsidR="003F6C1E">
        <w:t xml:space="preserve">Sydney Arbitration </w:t>
      </w:r>
      <w:r w:rsidR="001C5620">
        <w:t>Advantage,</w:t>
      </w:r>
      <w:r w:rsidR="001C5620">
        <w:rPr>
          <w:i/>
        </w:rPr>
        <w:t xml:space="preserve"> Travel and Transport, </w:t>
      </w:r>
      <w:r w:rsidR="00A12251">
        <w:t xml:space="preserve">Sydney Arbitration Advantage </w:t>
      </w:r>
      <w:r w:rsidR="001C5620">
        <w:t>&lt;</w:t>
      </w:r>
      <w:hyperlink r:id="rId4" w:history="1">
        <w:r w:rsidR="001C5620" w:rsidRPr="008D4982">
          <w:rPr>
            <w:rStyle w:val="Hyperlink"/>
          </w:rPr>
          <w:t>http://www.sydneyarbitration.com/Travel-and-transport</w:t>
        </w:r>
      </w:hyperlink>
      <w:r w:rsidR="001C5620">
        <w:t xml:space="preserve">&gt;. </w:t>
      </w:r>
    </w:p>
  </w:footnote>
  <w:footnote w:id="14">
    <w:p w14:paraId="445490F1" w14:textId="77777777" w:rsidR="007146B9" w:rsidRDefault="007146B9">
      <w:pPr>
        <w:pStyle w:val="FootnoteText"/>
      </w:pPr>
      <w:r>
        <w:rPr>
          <w:rStyle w:val="FootnoteReference"/>
        </w:rPr>
        <w:footnoteRef/>
      </w:r>
      <w:r>
        <w:t xml:space="preserve"> </w:t>
      </w:r>
      <w:r w:rsidR="001C5620">
        <w:t>Ibid.</w:t>
      </w:r>
    </w:p>
  </w:footnote>
  <w:footnote w:id="15">
    <w:p w14:paraId="64314D7B" w14:textId="77777777" w:rsidR="002E59B4" w:rsidRDefault="002E59B4" w:rsidP="002E59B4">
      <w:pPr>
        <w:pStyle w:val="FootnoteText"/>
      </w:pPr>
      <w:r>
        <w:rPr>
          <w:rStyle w:val="FootnoteReference"/>
        </w:rPr>
        <w:footnoteRef/>
      </w:r>
      <w:r>
        <w:t xml:space="preserve"> The Legal 500, </w:t>
      </w:r>
      <w:r>
        <w:rPr>
          <w:i/>
        </w:rPr>
        <w:t xml:space="preserve">Asia Pacific: Regional International Arbitration, </w:t>
      </w:r>
      <w:r>
        <w:t>The Legal 500, &lt;</w:t>
      </w:r>
      <w:hyperlink r:id="rId5" w:history="1">
        <w:r w:rsidRPr="00264902">
          <w:rPr>
            <w:rStyle w:val="Hyperlink"/>
          </w:rPr>
          <w:t>http://www.legal500.com/c/asia-pacific-regional-international-arbitration/regional-international-arbitration</w:t>
        </w:r>
      </w:hyperlink>
      <w:r>
        <w:t>&gt;.</w:t>
      </w:r>
    </w:p>
  </w:footnote>
  <w:footnote w:id="16">
    <w:p w14:paraId="7B4945BD" w14:textId="77777777" w:rsidR="00573A85" w:rsidRDefault="00573A85">
      <w:pPr>
        <w:pStyle w:val="FootnoteText"/>
      </w:pPr>
      <w:r>
        <w:rPr>
          <w:rStyle w:val="FootnoteReference"/>
        </w:rPr>
        <w:footnoteRef/>
      </w:r>
      <w:r w:rsidR="001C5620">
        <w:t xml:space="preserve"> Economists Intelligence Unit, </w:t>
      </w:r>
      <w:r w:rsidR="001C5620">
        <w:rPr>
          <w:i/>
        </w:rPr>
        <w:t xml:space="preserve">Measuring the Cost of Living Worldwide </w:t>
      </w:r>
      <w:r w:rsidR="00A12251">
        <w:t>(21 March 2017) The Economist &lt;</w:t>
      </w:r>
      <w:hyperlink r:id="rId6" w:history="1">
        <w:r w:rsidR="001C5620" w:rsidRPr="008D4982">
          <w:rPr>
            <w:rStyle w:val="Hyperlink"/>
          </w:rPr>
          <w:t>https://www.economist.com/blogs/graphicdetail/2017/03/daily-chart-13</w:t>
        </w:r>
      </w:hyperlink>
      <w:r w:rsidR="001C5620">
        <w:t>&gt;.</w:t>
      </w:r>
    </w:p>
  </w:footnote>
  <w:footnote w:id="17">
    <w:p w14:paraId="45055BD8" w14:textId="77777777" w:rsidR="00076419" w:rsidRDefault="00076419">
      <w:pPr>
        <w:pStyle w:val="FootnoteText"/>
      </w:pPr>
      <w:r>
        <w:rPr>
          <w:rStyle w:val="FootnoteReference"/>
        </w:rPr>
        <w:footnoteRef/>
      </w:r>
      <w:r>
        <w:t xml:space="preserve"> </w:t>
      </w:r>
      <w:r w:rsidR="001C5620">
        <w:t>Sydney Arbitration Advantage,</w:t>
      </w:r>
      <w:r w:rsidR="001C5620">
        <w:rPr>
          <w:i/>
        </w:rPr>
        <w:t xml:space="preserve"> Significant Cost Savings, </w:t>
      </w:r>
      <w:r w:rsidR="001C5620">
        <w:t>Sydney Arbitration Advantage &lt;</w:t>
      </w:r>
      <w:hyperlink r:id="rId7" w:history="1">
        <w:r w:rsidR="001C5620" w:rsidRPr="008D4982">
          <w:rPr>
            <w:rStyle w:val="Hyperlink"/>
          </w:rPr>
          <w:t>http://www.sydneyarbitration.com/Travel-and-transport</w:t>
        </w:r>
      </w:hyperlink>
      <w:r w:rsidR="001C5620">
        <w:t>&gt;.</w:t>
      </w:r>
    </w:p>
  </w:footnote>
  <w:footnote w:id="18">
    <w:p w14:paraId="79A154CB" w14:textId="77777777" w:rsidR="007146B9" w:rsidRDefault="007146B9">
      <w:pPr>
        <w:pStyle w:val="FootnoteText"/>
      </w:pPr>
      <w:r>
        <w:rPr>
          <w:rStyle w:val="FootnoteReference"/>
        </w:rPr>
        <w:footnoteRef/>
      </w:r>
      <w:r w:rsidR="001C5620">
        <w:t xml:space="preserve"> Australian Bureau of Statistics, </w:t>
      </w:r>
      <w:r w:rsidR="001C5620">
        <w:rPr>
          <w:i/>
        </w:rPr>
        <w:t xml:space="preserve">Migration Australia 2015-2016 </w:t>
      </w:r>
      <w:r w:rsidR="001C5620">
        <w:t>(30 March 2017)  Australian Bureau of Statistics</w:t>
      </w:r>
      <w:r>
        <w:t xml:space="preserve"> </w:t>
      </w:r>
      <w:r w:rsidR="00A12251">
        <w:t>&lt;</w:t>
      </w:r>
      <w:hyperlink r:id="rId8" w:history="1">
        <w:r w:rsidR="001C5620" w:rsidRPr="008D4982">
          <w:rPr>
            <w:rStyle w:val="Hyperlink"/>
          </w:rPr>
          <w:t>http://www.abs.gov.au/ausstats/abs@.nsf/mf/3412.0/</w:t>
        </w:r>
      </w:hyperlink>
      <w:r w:rsidR="001C5620">
        <w:t xml:space="preserve">&gt;. </w:t>
      </w:r>
    </w:p>
  </w:footnote>
  <w:footnote w:id="19">
    <w:p w14:paraId="667193E9" w14:textId="77777777" w:rsidR="002C750B" w:rsidRDefault="002C750B" w:rsidP="002C750B">
      <w:pPr>
        <w:pStyle w:val="FootnoteText"/>
      </w:pPr>
      <w:r>
        <w:rPr>
          <w:rStyle w:val="FootnoteReference"/>
        </w:rPr>
        <w:footnoteRef/>
      </w:r>
      <w:proofErr w:type="spellStart"/>
      <w:r>
        <w:t>Berwein</w:t>
      </w:r>
      <w:proofErr w:type="spellEnd"/>
      <w:r>
        <w:t xml:space="preserve"> Leighton </w:t>
      </w:r>
      <w:proofErr w:type="spellStart"/>
      <w:r>
        <w:t>Paisner</w:t>
      </w:r>
      <w:proofErr w:type="spellEnd"/>
      <w:r>
        <w:t xml:space="preserve">, 'International Arbitration Survey: Diversity on Arbitral Tribunals: Are We Getting There' (Research Report, </w:t>
      </w:r>
      <w:proofErr w:type="spellStart"/>
      <w:r>
        <w:t>Berwein</w:t>
      </w:r>
      <w:proofErr w:type="spellEnd"/>
      <w:r>
        <w:t xml:space="preserve"> Leighton </w:t>
      </w:r>
      <w:proofErr w:type="spellStart"/>
      <w:r>
        <w:t>Paisner</w:t>
      </w:r>
      <w:proofErr w:type="spellEnd"/>
      <w:r>
        <w:t>, 10 January 2017) 7.</w:t>
      </w:r>
    </w:p>
  </w:footnote>
  <w:footnote w:id="20">
    <w:p w14:paraId="2F8E515F" w14:textId="77777777" w:rsidR="0051455A" w:rsidRDefault="0051455A">
      <w:pPr>
        <w:pStyle w:val="FootnoteText"/>
      </w:pPr>
      <w:r>
        <w:rPr>
          <w:rStyle w:val="FootnoteReference"/>
        </w:rPr>
        <w:footnoteRef/>
      </w:r>
      <w:r>
        <w:t xml:space="preserve"> </w:t>
      </w:r>
      <w:r w:rsidR="003D476D">
        <w:t xml:space="preserve">Lara Bullock, </w:t>
      </w:r>
      <w:r w:rsidR="002A5D61">
        <w:t xml:space="preserve">'ACICA aims for equality in arbitration', </w:t>
      </w:r>
      <w:r w:rsidR="002A5D61">
        <w:rPr>
          <w:i/>
        </w:rPr>
        <w:t>Lawyers Weekly</w:t>
      </w:r>
      <w:r w:rsidR="00A12251">
        <w:t xml:space="preserve"> (online) 27 June 2016 &lt;</w:t>
      </w:r>
      <w:hyperlink r:id="rId9" w:history="1">
        <w:r w:rsidR="002A5D61" w:rsidRPr="008D4982">
          <w:rPr>
            <w:rStyle w:val="Hyperlink"/>
          </w:rPr>
          <w:t>https://www.lawyersweekly.com.au/news/18842-acica-aims-for-equality-in-arbitration</w:t>
        </w:r>
      </w:hyperlink>
      <w:r w:rsidR="002A5D61">
        <w:t>&gt;.</w:t>
      </w:r>
    </w:p>
  </w:footnote>
  <w:footnote w:id="21">
    <w:p w14:paraId="01D47C63" w14:textId="77777777" w:rsidR="0051455A" w:rsidRDefault="0051455A">
      <w:pPr>
        <w:pStyle w:val="FootnoteText"/>
      </w:pPr>
      <w:r>
        <w:rPr>
          <w:rStyle w:val="FootnoteReference"/>
        </w:rPr>
        <w:footnoteRef/>
      </w:r>
      <w:r w:rsidR="00C1607C">
        <w:t>ACICA, Media Release Equal Representation in Arbitration Pledge:</w:t>
      </w:r>
      <w:r w:rsidR="00A12251">
        <w:t>&lt;</w:t>
      </w:r>
      <w:hyperlink r:id="rId10" w:history="1">
        <w:r w:rsidR="00C1607C" w:rsidRPr="008D4982">
          <w:rPr>
            <w:rStyle w:val="Hyperlink"/>
          </w:rPr>
          <w:t>https://acica.org.au/wp-content/uploads/2016/06/Media-Release-Equal-Representation-in-Arbitration-Pledge.pdf</w:t>
        </w:r>
      </w:hyperlink>
      <w:r w:rsidR="00A12251">
        <w:rPr>
          <w:rStyle w:val="Hyperlink"/>
        </w:rPr>
        <w:t>&gt;</w:t>
      </w:r>
      <w:r w:rsidR="00C1607C">
        <w:t xml:space="preserve">. </w:t>
      </w:r>
    </w:p>
  </w:footnote>
  <w:footnote w:id="22">
    <w:p w14:paraId="4FB49165" w14:textId="77777777" w:rsidR="00216C00" w:rsidRPr="005E4A26" w:rsidRDefault="00216C00">
      <w:pPr>
        <w:pStyle w:val="FootnoteText"/>
      </w:pPr>
      <w:r>
        <w:rPr>
          <w:rStyle w:val="FootnoteReference"/>
        </w:rPr>
        <w:footnoteRef/>
      </w:r>
      <w:r>
        <w:t xml:space="preserve"> </w:t>
      </w:r>
      <w:r w:rsidR="00E921A6" w:rsidRPr="00E921A6">
        <w:t>Federal Court of Australia, General Practice Note – Technology</w:t>
      </w:r>
      <w:r w:rsidR="00E921A6">
        <w:t xml:space="preserve"> and the Court, 25 October 2016; </w:t>
      </w:r>
      <w:r w:rsidR="006F18A3">
        <w:rPr>
          <w:i/>
        </w:rPr>
        <w:t xml:space="preserve">See also </w:t>
      </w:r>
      <w:r w:rsidR="005E4A26">
        <w:t xml:space="preserve">Damian </w:t>
      </w:r>
      <w:proofErr w:type="spellStart"/>
      <w:r w:rsidR="005E4A26">
        <w:t>Sturzaker</w:t>
      </w:r>
      <w:proofErr w:type="spellEnd"/>
      <w:r w:rsidR="005E4A26">
        <w:t xml:space="preserve">, 'Technical Innovations in International Arbitration - Why Australia needs to move to Arbitration 2.0 (2014) </w:t>
      </w:r>
      <w:proofErr w:type="spellStart"/>
      <w:r w:rsidR="005E4A26" w:rsidRPr="005E4A26">
        <w:rPr>
          <w:i/>
        </w:rPr>
        <w:t>CIArb</w:t>
      </w:r>
      <w:proofErr w:type="spellEnd"/>
      <w:r w:rsidR="00A12251">
        <w:t xml:space="preserve"> &lt;</w:t>
      </w:r>
      <w:hyperlink r:id="rId11" w:history="1">
        <w:r w:rsidR="005E4A26" w:rsidRPr="008D4982">
          <w:rPr>
            <w:rStyle w:val="Hyperlink"/>
            <w:i/>
          </w:rPr>
          <w:t>https://www.ciarb.net.au/resources/international-arbitration/technical-innovations-in-international-arbitration-why-australia-needs-to-move-to-arbitration-2-0/</w:t>
        </w:r>
      </w:hyperlink>
      <w:r w:rsidR="005E4A26">
        <w:t>&gt;.</w:t>
      </w:r>
    </w:p>
  </w:footnote>
  <w:footnote w:id="23">
    <w:p w14:paraId="5D3AA8B5" w14:textId="77777777" w:rsidR="006F18A3" w:rsidRDefault="006F18A3" w:rsidP="009320BA">
      <w:r>
        <w:rPr>
          <w:rStyle w:val="FootnoteReference"/>
        </w:rPr>
        <w:footnoteRef/>
      </w:r>
      <w:r>
        <w:t xml:space="preserve"> </w:t>
      </w:r>
      <w:r w:rsidR="00C1607C" w:rsidRPr="00E921A6">
        <w:rPr>
          <w:rFonts w:asciiTheme="majorHAnsi" w:eastAsiaTheme="minorEastAsia" w:hAnsiTheme="majorHAnsi" w:cstheme="majorHAnsi"/>
          <w:sz w:val="18"/>
          <w:szCs w:val="18"/>
          <w:lang w:val="en-US"/>
        </w:rPr>
        <w:t xml:space="preserve">Supreme Court of Victoria, </w:t>
      </w:r>
      <w:r w:rsidR="00C1607C" w:rsidRPr="00E921A6">
        <w:rPr>
          <w:rFonts w:asciiTheme="majorHAnsi" w:eastAsiaTheme="minorEastAsia" w:hAnsiTheme="majorHAnsi" w:cstheme="majorHAnsi"/>
          <w:i/>
          <w:iCs/>
          <w:sz w:val="18"/>
          <w:szCs w:val="18"/>
          <w:lang w:val="en-US"/>
        </w:rPr>
        <w:t xml:space="preserve">Practice Note Gen 5 of </w:t>
      </w:r>
      <w:r w:rsidR="00C1607C" w:rsidRPr="00E921A6">
        <w:rPr>
          <w:rFonts w:asciiTheme="majorHAnsi" w:eastAsiaTheme="minorEastAsia" w:hAnsiTheme="majorHAnsi" w:cstheme="majorHAnsi"/>
          <w:sz w:val="18"/>
          <w:szCs w:val="18"/>
          <w:lang w:val="en-US"/>
        </w:rPr>
        <w:t>2017 -</w:t>
      </w:r>
      <w:r w:rsidR="00C1607C" w:rsidRPr="00E921A6">
        <w:rPr>
          <w:rFonts w:asciiTheme="majorHAnsi" w:eastAsiaTheme="minorEastAsia" w:hAnsiTheme="majorHAnsi" w:cstheme="majorHAnsi"/>
          <w:i/>
          <w:iCs/>
          <w:sz w:val="18"/>
          <w:szCs w:val="18"/>
          <w:lang w:val="en-US"/>
        </w:rPr>
        <w:t xml:space="preserve"> </w:t>
      </w:r>
      <w:r w:rsidR="00C1607C" w:rsidRPr="00E921A6">
        <w:rPr>
          <w:rFonts w:asciiTheme="majorHAnsi" w:eastAsiaTheme="minorEastAsia" w:hAnsiTheme="majorHAnsi" w:cstheme="majorHAnsi"/>
          <w:i/>
          <w:iCs/>
          <w:sz w:val="18"/>
          <w:szCs w:val="18"/>
        </w:rPr>
        <w:t>Technology in Civil Litigation Practice Note,</w:t>
      </w:r>
      <w:r w:rsidR="00C1607C" w:rsidRPr="00E921A6">
        <w:rPr>
          <w:rFonts w:asciiTheme="majorHAnsi" w:eastAsiaTheme="minorEastAsia" w:hAnsiTheme="majorHAnsi" w:cstheme="majorHAnsi"/>
          <w:sz w:val="18"/>
          <w:szCs w:val="18"/>
        </w:rPr>
        <w:t xml:space="preserve"> 30 January 2017</w:t>
      </w:r>
      <w:r w:rsidR="00C1607C" w:rsidRPr="00E921A6">
        <w:rPr>
          <w:rFonts w:asciiTheme="majorHAnsi" w:eastAsiaTheme="minorEastAsia" w:hAnsiTheme="majorHAnsi" w:cstheme="majorHAnsi"/>
          <w:i/>
          <w:iCs/>
          <w:sz w:val="18"/>
          <w:szCs w:val="18"/>
        </w:rPr>
        <w:t xml:space="preserve">, </w:t>
      </w:r>
      <w:r w:rsidR="00C1607C" w:rsidRPr="00E921A6">
        <w:rPr>
          <w:rFonts w:asciiTheme="majorHAnsi" w:eastAsiaTheme="minorEastAsia" w:hAnsiTheme="majorHAnsi" w:cstheme="majorHAnsi"/>
          <w:sz w:val="18"/>
          <w:szCs w:val="18"/>
        </w:rPr>
        <w:t>8.9.</w:t>
      </w:r>
    </w:p>
  </w:footnote>
  <w:footnote w:id="24">
    <w:p w14:paraId="2E671081" w14:textId="77777777" w:rsidR="003F3AD2" w:rsidRDefault="003F3AD2">
      <w:pPr>
        <w:pStyle w:val="FootnoteText"/>
      </w:pPr>
      <w:r>
        <w:rPr>
          <w:rStyle w:val="FootnoteReference"/>
        </w:rPr>
        <w:footnoteRef/>
      </w:r>
      <w:r>
        <w:t xml:space="preserve"> </w:t>
      </w:r>
      <w:r w:rsidR="005E4A26">
        <w:t xml:space="preserve">Damian </w:t>
      </w:r>
      <w:proofErr w:type="spellStart"/>
      <w:r w:rsidR="005E4A26">
        <w:t>Sturzaker</w:t>
      </w:r>
      <w:proofErr w:type="spellEnd"/>
      <w:r w:rsidR="005E4A26">
        <w:t xml:space="preserve">, 'Technical Innovations in International Arbitration - Why Australia needs to move to Arbitration 2.0 (2014) </w:t>
      </w:r>
      <w:proofErr w:type="spellStart"/>
      <w:r w:rsidR="005E4A26" w:rsidRPr="005E4A26">
        <w:rPr>
          <w:i/>
        </w:rPr>
        <w:t>CIArb</w:t>
      </w:r>
      <w:proofErr w:type="spellEnd"/>
      <w:r w:rsidR="00A12251">
        <w:t xml:space="preserve"> &lt;</w:t>
      </w:r>
      <w:hyperlink r:id="rId12" w:history="1">
        <w:r w:rsidR="005E4A26" w:rsidRPr="008D4982">
          <w:rPr>
            <w:rStyle w:val="Hyperlink"/>
            <w:i/>
          </w:rPr>
          <w:t>https://www.ciarb.net.au/resources/international-arbitration/technical-innovations-in-international-arbitration-why-australia-needs-to-move-to-arbitration-2-0/</w:t>
        </w:r>
      </w:hyperlink>
      <w:r w:rsidR="005E4A26">
        <w:t>&gt;.</w:t>
      </w:r>
    </w:p>
  </w:footnote>
  <w:footnote w:id="25">
    <w:p w14:paraId="42F0FC28" w14:textId="77777777" w:rsidR="003F3AD2" w:rsidRDefault="003F3AD2">
      <w:pPr>
        <w:pStyle w:val="FootnoteText"/>
      </w:pPr>
      <w:r>
        <w:rPr>
          <w:rStyle w:val="FootnoteReference"/>
        </w:rPr>
        <w:footnoteRef/>
      </w:r>
      <w:r w:rsidR="005E4A26">
        <w:t xml:space="preserve"> ACICA, </w:t>
      </w:r>
      <w:r w:rsidR="005E4A26">
        <w:rPr>
          <w:i/>
        </w:rPr>
        <w:t xml:space="preserve">Draft Procedural Order for the Use of Online Dispute Resolution Technologies in ACICA Rules Arbitrations: </w:t>
      </w:r>
      <w:r>
        <w:t xml:space="preserve"> </w:t>
      </w:r>
      <w:r w:rsidR="00A12251">
        <w:t>&lt;</w:t>
      </w:r>
      <w:hyperlink r:id="rId13" w:history="1">
        <w:r w:rsidR="005E4A26" w:rsidRPr="008D4982">
          <w:rPr>
            <w:rStyle w:val="Hyperlink"/>
          </w:rPr>
          <w:t>https://acica.org.au/wp-content/uploads/2016/08/ACICA-online-ADR-procedural-order.pdf</w:t>
        </w:r>
      </w:hyperlink>
      <w:r w:rsidR="00A12251">
        <w:t>&gt;</w:t>
      </w:r>
    </w:p>
  </w:footnote>
  <w:footnote w:id="26">
    <w:p w14:paraId="32065576" w14:textId="77777777" w:rsidR="000767D2" w:rsidRDefault="000767D2">
      <w:pPr>
        <w:pStyle w:val="FootnoteText"/>
      </w:pPr>
      <w:r>
        <w:rPr>
          <w:rStyle w:val="FootnoteReference"/>
        </w:rPr>
        <w:footnoteRef/>
      </w:r>
      <w:r>
        <w:t xml:space="preserve"> Ibid.</w:t>
      </w:r>
    </w:p>
  </w:footnote>
  <w:footnote w:id="27">
    <w:p w14:paraId="38095BEC" w14:textId="77777777" w:rsidR="00A12251" w:rsidRPr="003A15E9" w:rsidRDefault="00A12251" w:rsidP="00A12251">
      <w:pPr>
        <w:pStyle w:val="FootnoteText"/>
      </w:pPr>
      <w:r>
        <w:rPr>
          <w:rStyle w:val="FootnoteReference"/>
        </w:rPr>
        <w:footnoteRef/>
      </w:r>
      <w:r>
        <w:t xml:space="preserve"> Australia Law Reform Commission, 'Traditional Aboriginal Society and Its Law' in H Astor and C </w:t>
      </w:r>
      <w:proofErr w:type="spellStart"/>
      <w:r>
        <w:t>Chinkin</w:t>
      </w:r>
      <w:proofErr w:type="spellEnd"/>
      <w:r>
        <w:t xml:space="preserve">, </w:t>
      </w:r>
      <w:r>
        <w:rPr>
          <w:i/>
        </w:rPr>
        <w:t xml:space="preserve">Dispute Resolution in Australia </w:t>
      </w:r>
      <w:r>
        <w:t xml:space="preserve">(2nd </w:t>
      </w:r>
      <w:proofErr w:type="spellStart"/>
      <w:r>
        <w:t>edn</w:t>
      </w:r>
      <w:proofErr w:type="spellEnd"/>
      <w:r>
        <w:t xml:space="preserve">, LexisNexis </w:t>
      </w:r>
      <w:proofErr w:type="spellStart"/>
      <w:r>
        <w:t>Butterworths</w:t>
      </w:r>
      <w:proofErr w:type="spellEnd"/>
      <w:r>
        <w:t xml:space="preserve">, 2002) 11. </w:t>
      </w:r>
    </w:p>
  </w:footnote>
  <w:footnote w:id="28">
    <w:p w14:paraId="5A182E38" w14:textId="77777777" w:rsidR="00A12251" w:rsidRDefault="00A12251" w:rsidP="00A12251">
      <w:pPr>
        <w:pStyle w:val="FootnoteText"/>
      </w:pPr>
      <w:r>
        <w:rPr>
          <w:rStyle w:val="FootnoteReference"/>
        </w:rPr>
        <w:footnoteRef/>
      </w:r>
      <w:r>
        <w:t xml:space="preserve"> </w:t>
      </w:r>
      <w:r w:rsidRPr="008E213A">
        <w:t xml:space="preserve">9 &amp; 10 </w:t>
      </w:r>
      <w:proofErr w:type="spellStart"/>
      <w:r w:rsidRPr="008E213A">
        <w:t>Wm</w:t>
      </w:r>
      <w:proofErr w:type="spellEnd"/>
      <w:r w:rsidRPr="008E213A">
        <w:t xml:space="preserve"> 3, c 15.</w:t>
      </w:r>
    </w:p>
  </w:footnote>
  <w:footnote w:id="29">
    <w:p w14:paraId="6CB2111A" w14:textId="77777777" w:rsidR="00A12251" w:rsidRDefault="00A12251" w:rsidP="00A12251">
      <w:pPr>
        <w:pStyle w:val="FootnoteText"/>
      </w:pPr>
      <w:r>
        <w:rPr>
          <w:rStyle w:val="FootnoteReference"/>
        </w:rPr>
        <w:footnoteRef/>
      </w:r>
      <w:r>
        <w:t xml:space="preserve"> </w:t>
      </w:r>
      <w:r w:rsidRPr="00D02452">
        <w:t>IAA 1974 (</w:t>
      </w:r>
      <w:proofErr w:type="spellStart"/>
      <w:r w:rsidRPr="00D02452">
        <w:t>Cth</w:t>
      </w:r>
      <w:proofErr w:type="spellEnd"/>
      <w:r w:rsidRPr="00D02452">
        <w:t>) s</w:t>
      </w:r>
      <w:r>
        <w:t xml:space="preserve"> 22(2). </w:t>
      </w:r>
    </w:p>
  </w:footnote>
  <w:footnote w:id="30">
    <w:p w14:paraId="06470ED5" w14:textId="77777777" w:rsidR="00A12251" w:rsidRPr="00353DD9" w:rsidRDefault="00A12251" w:rsidP="00A12251">
      <w:pPr>
        <w:pStyle w:val="FootnoteText"/>
      </w:pPr>
      <w:r>
        <w:rPr>
          <w:rStyle w:val="FootnoteReference"/>
        </w:rPr>
        <w:footnoteRef/>
      </w:r>
      <w:r>
        <w:t xml:space="preserve"> </w:t>
      </w:r>
      <w:r>
        <w:rPr>
          <w:i/>
        </w:rPr>
        <w:t xml:space="preserve">International Arbitration Act </w:t>
      </w:r>
      <w:r w:rsidRPr="00353DD9">
        <w:t>1974 (</w:t>
      </w:r>
      <w:proofErr w:type="spellStart"/>
      <w:r w:rsidRPr="00353DD9">
        <w:t>Cth</w:t>
      </w:r>
      <w:proofErr w:type="spellEnd"/>
      <w:r w:rsidRPr="00353DD9">
        <w:t>)</w:t>
      </w:r>
      <w:r>
        <w:rPr>
          <w:i/>
        </w:rPr>
        <w:t xml:space="preserve"> </w:t>
      </w:r>
      <w:r>
        <w:t>s 23 ('</w:t>
      </w:r>
      <w:r w:rsidRPr="00353DD9">
        <w:rPr>
          <w:i/>
        </w:rPr>
        <w:t>IAA</w:t>
      </w:r>
      <w:r>
        <w:t xml:space="preserve">'). </w:t>
      </w:r>
    </w:p>
  </w:footnote>
  <w:footnote w:id="31">
    <w:p w14:paraId="6F10A292" w14:textId="77777777" w:rsidR="00A12251" w:rsidRPr="00353DD9" w:rsidRDefault="00A12251" w:rsidP="00A12251">
      <w:pPr>
        <w:pStyle w:val="FootnoteText"/>
      </w:pPr>
      <w:r>
        <w:rPr>
          <w:rStyle w:val="FootnoteReference"/>
        </w:rPr>
        <w:footnoteRef/>
      </w:r>
      <w:r>
        <w:t xml:space="preserve"> </w:t>
      </w:r>
      <w:r>
        <w:rPr>
          <w:i/>
        </w:rPr>
        <w:t xml:space="preserve">IAA </w:t>
      </w:r>
      <w:r>
        <w:t>1974 (</w:t>
      </w:r>
      <w:proofErr w:type="spellStart"/>
      <w:r>
        <w:t>Cth</w:t>
      </w:r>
      <w:proofErr w:type="spellEnd"/>
      <w:r>
        <w:t>) s 23A.</w:t>
      </w:r>
    </w:p>
  </w:footnote>
  <w:footnote w:id="32">
    <w:p w14:paraId="6C39A6C9" w14:textId="77777777" w:rsidR="00A12251" w:rsidRDefault="00A12251" w:rsidP="00A12251">
      <w:pPr>
        <w:pStyle w:val="FootnoteText"/>
      </w:pPr>
      <w:r>
        <w:rPr>
          <w:rStyle w:val="FootnoteReference"/>
        </w:rPr>
        <w:footnoteRef/>
      </w:r>
      <w:r>
        <w:t xml:space="preserve"> </w:t>
      </w:r>
      <w:r>
        <w:rPr>
          <w:i/>
        </w:rPr>
        <w:t xml:space="preserve">IAA </w:t>
      </w:r>
      <w:r>
        <w:t>1974 (</w:t>
      </w:r>
      <w:proofErr w:type="spellStart"/>
      <w:r>
        <w:t>Cth</w:t>
      </w:r>
      <w:proofErr w:type="spellEnd"/>
      <w:r>
        <w:t>) s 23C</w:t>
      </w:r>
    </w:p>
  </w:footnote>
  <w:footnote w:id="33">
    <w:p w14:paraId="7AC04EA6" w14:textId="77777777" w:rsidR="00A12251" w:rsidRPr="00353DD9" w:rsidRDefault="00A12251" w:rsidP="00A12251">
      <w:pPr>
        <w:pStyle w:val="FootnoteText"/>
      </w:pPr>
      <w:r>
        <w:rPr>
          <w:rStyle w:val="FootnoteReference"/>
        </w:rPr>
        <w:footnoteRef/>
      </w:r>
      <w:r>
        <w:t xml:space="preserve"> </w:t>
      </w:r>
      <w:r>
        <w:rPr>
          <w:i/>
        </w:rPr>
        <w:t xml:space="preserve">IAA </w:t>
      </w:r>
      <w:r>
        <w:t>1974 (</w:t>
      </w:r>
      <w:proofErr w:type="spellStart"/>
      <w:r>
        <w:t>Cth</w:t>
      </w:r>
      <w:proofErr w:type="spellEnd"/>
      <w:r>
        <w:t>) s 23B.</w:t>
      </w:r>
    </w:p>
  </w:footnote>
  <w:footnote w:id="34">
    <w:p w14:paraId="3E962A38" w14:textId="77777777" w:rsidR="00A12251" w:rsidRDefault="00A12251" w:rsidP="00A12251">
      <w:pPr>
        <w:pStyle w:val="FootnoteText"/>
      </w:pPr>
      <w:r>
        <w:rPr>
          <w:rStyle w:val="FootnoteReference"/>
        </w:rPr>
        <w:footnoteRef/>
      </w:r>
      <w:r>
        <w:t xml:space="preserve"> </w:t>
      </w:r>
      <w:r>
        <w:rPr>
          <w:i/>
        </w:rPr>
        <w:t xml:space="preserve">IAA </w:t>
      </w:r>
      <w:r>
        <w:t>1974 (</w:t>
      </w:r>
      <w:proofErr w:type="spellStart"/>
      <w:r>
        <w:t>Cth</w:t>
      </w:r>
      <w:proofErr w:type="spellEnd"/>
      <w:r>
        <w:t>) s 23K.</w:t>
      </w:r>
    </w:p>
  </w:footnote>
  <w:footnote w:id="35">
    <w:p w14:paraId="21DE802F" w14:textId="77777777" w:rsidR="00A12251" w:rsidRDefault="00A12251" w:rsidP="00A12251">
      <w:pPr>
        <w:pStyle w:val="FootnoteText"/>
      </w:pPr>
      <w:r>
        <w:rPr>
          <w:rStyle w:val="FootnoteReference"/>
        </w:rPr>
        <w:footnoteRef/>
      </w:r>
      <w:r>
        <w:t xml:space="preserve"> </w:t>
      </w:r>
      <w:r>
        <w:rPr>
          <w:i/>
        </w:rPr>
        <w:t xml:space="preserve">IAA </w:t>
      </w:r>
      <w:r>
        <w:t>1974 (</w:t>
      </w:r>
      <w:proofErr w:type="spellStart"/>
      <w:r>
        <w:t>Cth</w:t>
      </w:r>
      <w:proofErr w:type="spellEnd"/>
      <w:r>
        <w:t>) s 25.</w:t>
      </w:r>
    </w:p>
  </w:footnote>
  <w:footnote w:id="36">
    <w:p w14:paraId="6FE85CBE" w14:textId="77777777" w:rsidR="00A12251" w:rsidRDefault="00A12251" w:rsidP="00A12251">
      <w:pPr>
        <w:pStyle w:val="FootnoteText"/>
      </w:pPr>
      <w:r>
        <w:rPr>
          <w:rStyle w:val="FootnoteReference"/>
        </w:rPr>
        <w:footnoteRef/>
      </w:r>
      <w:r>
        <w:t xml:space="preserve"> </w:t>
      </w:r>
      <w:r>
        <w:rPr>
          <w:i/>
        </w:rPr>
        <w:t xml:space="preserve">IAA </w:t>
      </w:r>
      <w:r>
        <w:t>1974 (</w:t>
      </w:r>
      <w:proofErr w:type="spellStart"/>
      <w:r>
        <w:t>Cth</w:t>
      </w:r>
      <w:proofErr w:type="spellEnd"/>
      <w:r>
        <w:t>) s 26.</w:t>
      </w:r>
    </w:p>
  </w:footnote>
  <w:footnote w:id="37">
    <w:p w14:paraId="403AE4C7" w14:textId="77777777" w:rsidR="00A12251" w:rsidRDefault="00A12251" w:rsidP="00A12251">
      <w:pPr>
        <w:pStyle w:val="FootnoteText"/>
      </w:pPr>
      <w:r>
        <w:rPr>
          <w:rStyle w:val="FootnoteReference"/>
        </w:rPr>
        <w:footnoteRef/>
      </w:r>
      <w:r>
        <w:t xml:space="preserve"> </w:t>
      </w:r>
      <w:r>
        <w:rPr>
          <w:i/>
        </w:rPr>
        <w:t xml:space="preserve">IAA </w:t>
      </w:r>
      <w:r>
        <w:t>1974 (</w:t>
      </w:r>
      <w:proofErr w:type="spellStart"/>
      <w:r>
        <w:t>Cth</w:t>
      </w:r>
      <w:proofErr w:type="spellEnd"/>
      <w:r>
        <w:t>) s 27.</w:t>
      </w:r>
    </w:p>
  </w:footnote>
  <w:footnote w:id="38">
    <w:p w14:paraId="2E677498" w14:textId="77777777" w:rsidR="00A12251" w:rsidRDefault="00A12251" w:rsidP="00A12251">
      <w:pPr>
        <w:pStyle w:val="FootnoteText"/>
      </w:pPr>
      <w:r>
        <w:rPr>
          <w:rStyle w:val="FootnoteReference"/>
        </w:rPr>
        <w:footnoteRef/>
      </w:r>
      <w:r>
        <w:t xml:space="preserve"> </w:t>
      </w:r>
      <w:r>
        <w:rPr>
          <w:i/>
        </w:rPr>
        <w:t xml:space="preserve">IAA </w:t>
      </w:r>
      <w:r>
        <w:t>1974 (</w:t>
      </w:r>
      <w:proofErr w:type="spellStart"/>
      <w:r>
        <w:t>Cth</w:t>
      </w:r>
      <w:proofErr w:type="spellEnd"/>
      <w:r>
        <w:t>) s 22(5); s 24.</w:t>
      </w:r>
    </w:p>
  </w:footnote>
  <w:footnote w:id="39">
    <w:p w14:paraId="51F0BDF0" w14:textId="77777777" w:rsidR="00A12251" w:rsidRDefault="00A12251" w:rsidP="00A12251">
      <w:pPr>
        <w:pStyle w:val="FootnoteText"/>
      </w:pPr>
      <w:r>
        <w:rPr>
          <w:rStyle w:val="FootnoteReference"/>
        </w:rPr>
        <w:footnoteRef/>
      </w:r>
      <w:r>
        <w:t xml:space="preserve"> </w:t>
      </w:r>
      <w:r w:rsidRPr="009F204A">
        <w:rPr>
          <w:i/>
        </w:rPr>
        <w:t>IAA</w:t>
      </w:r>
      <w:r w:rsidRPr="00D02452">
        <w:t xml:space="preserve"> 1974 (</w:t>
      </w:r>
      <w:proofErr w:type="spellStart"/>
      <w:r w:rsidRPr="00D02452">
        <w:t>Cth</w:t>
      </w:r>
      <w:proofErr w:type="spellEnd"/>
      <w:r w:rsidRPr="00D02452">
        <w:t>) s</w:t>
      </w:r>
      <w:r>
        <w:t xml:space="preserve"> 24(1); 24(2)(a). </w:t>
      </w:r>
    </w:p>
  </w:footnote>
  <w:footnote w:id="40">
    <w:p w14:paraId="1BB38E69" w14:textId="77777777" w:rsidR="00A12251" w:rsidRDefault="00A12251" w:rsidP="00A12251">
      <w:pPr>
        <w:pStyle w:val="FootnoteText"/>
      </w:pPr>
      <w:r>
        <w:rPr>
          <w:rStyle w:val="FootnoteReference"/>
        </w:rPr>
        <w:footnoteRef/>
      </w:r>
      <w:r>
        <w:t xml:space="preserve"> </w:t>
      </w:r>
      <w:r w:rsidRPr="009F204A">
        <w:rPr>
          <w:i/>
        </w:rPr>
        <w:t>IAA</w:t>
      </w:r>
      <w:r w:rsidRPr="00D02452">
        <w:t xml:space="preserve"> 1974 (</w:t>
      </w:r>
      <w:proofErr w:type="spellStart"/>
      <w:r w:rsidRPr="00D02452">
        <w:t>Cth</w:t>
      </w:r>
      <w:proofErr w:type="spellEnd"/>
      <w:r w:rsidRPr="00D02452">
        <w:t>) s</w:t>
      </w:r>
      <w:r>
        <w:t xml:space="preserve"> 24(2)(b).</w:t>
      </w:r>
    </w:p>
  </w:footnote>
  <w:footnote w:id="41">
    <w:p w14:paraId="526B0D0A" w14:textId="77777777" w:rsidR="00A12251" w:rsidRDefault="00A12251" w:rsidP="00A12251">
      <w:pPr>
        <w:pStyle w:val="FootnoteText"/>
      </w:pPr>
      <w:r>
        <w:rPr>
          <w:rStyle w:val="FootnoteReference"/>
        </w:rPr>
        <w:footnoteRef/>
      </w:r>
      <w:r>
        <w:t xml:space="preserve"> </w:t>
      </w:r>
      <w:r w:rsidRPr="009F204A">
        <w:rPr>
          <w:i/>
        </w:rPr>
        <w:t>IAA</w:t>
      </w:r>
      <w:r w:rsidRPr="00D02452">
        <w:t xml:space="preserve"> 1974 (</w:t>
      </w:r>
      <w:proofErr w:type="spellStart"/>
      <w:r w:rsidRPr="00D02452">
        <w:t>Cth</w:t>
      </w:r>
      <w:proofErr w:type="spellEnd"/>
      <w:r w:rsidRPr="00D02452">
        <w:t>) s</w:t>
      </w:r>
      <w:r>
        <w:t xml:space="preserve"> 24(2)(c)</w:t>
      </w:r>
    </w:p>
  </w:footnote>
  <w:footnote w:id="42">
    <w:p w14:paraId="6FE009A1" w14:textId="77777777" w:rsidR="00A12251" w:rsidRDefault="00A12251" w:rsidP="00A12251">
      <w:pPr>
        <w:pStyle w:val="FootnoteText"/>
      </w:pPr>
      <w:r>
        <w:rPr>
          <w:rStyle w:val="FootnoteReference"/>
        </w:rPr>
        <w:footnoteRef/>
      </w:r>
      <w:r>
        <w:t xml:space="preserve"> </w:t>
      </w:r>
      <w:r w:rsidRPr="009F204A">
        <w:rPr>
          <w:i/>
        </w:rPr>
        <w:t>IAA</w:t>
      </w:r>
      <w:r w:rsidRPr="00B5110F">
        <w:t xml:space="preserve"> 1974 (</w:t>
      </w:r>
      <w:proofErr w:type="spellStart"/>
      <w:r w:rsidRPr="00B5110F">
        <w:t>Cth</w:t>
      </w:r>
      <w:proofErr w:type="spellEnd"/>
      <w:r w:rsidRPr="00B5110F">
        <w:t>) s</w:t>
      </w:r>
      <w:r>
        <w:t xml:space="preserve"> 19(a).</w:t>
      </w:r>
    </w:p>
  </w:footnote>
  <w:footnote w:id="43">
    <w:p w14:paraId="00DE4CE5" w14:textId="77777777" w:rsidR="00A12251" w:rsidRDefault="00A12251" w:rsidP="00A12251">
      <w:pPr>
        <w:pStyle w:val="FootnoteText"/>
      </w:pPr>
      <w:r>
        <w:rPr>
          <w:rStyle w:val="FootnoteReference"/>
        </w:rPr>
        <w:footnoteRef/>
      </w:r>
      <w:r>
        <w:t xml:space="preserve"> </w:t>
      </w:r>
      <w:r w:rsidRPr="009F204A">
        <w:rPr>
          <w:i/>
        </w:rPr>
        <w:t>IAA</w:t>
      </w:r>
      <w:r w:rsidRPr="00B5110F">
        <w:t xml:space="preserve"> 1974 (</w:t>
      </w:r>
      <w:proofErr w:type="spellStart"/>
      <w:r w:rsidRPr="00B5110F">
        <w:t>Cth</w:t>
      </w:r>
      <w:proofErr w:type="spellEnd"/>
      <w:r w:rsidRPr="00B5110F">
        <w:t>) s</w:t>
      </w:r>
      <w:r>
        <w:t xml:space="preserve"> 19(a).</w:t>
      </w:r>
    </w:p>
  </w:footnote>
  <w:footnote w:id="44">
    <w:p w14:paraId="6B3893C7" w14:textId="77777777" w:rsidR="00A12251" w:rsidRDefault="00A12251" w:rsidP="00A12251">
      <w:pPr>
        <w:pStyle w:val="FootnoteText"/>
      </w:pPr>
      <w:r>
        <w:rPr>
          <w:rStyle w:val="FootnoteReference"/>
        </w:rPr>
        <w:footnoteRef/>
      </w:r>
      <w:r>
        <w:t xml:space="preserve"> </w:t>
      </w:r>
      <w:r w:rsidRPr="009F204A">
        <w:rPr>
          <w:i/>
        </w:rPr>
        <w:t>IAA</w:t>
      </w:r>
      <w:r w:rsidRPr="00B5110F">
        <w:t xml:space="preserve"> 1974 (</w:t>
      </w:r>
      <w:proofErr w:type="spellStart"/>
      <w:r w:rsidRPr="00B5110F">
        <w:t>Cth</w:t>
      </w:r>
      <w:proofErr w:type="spellEnd"/>
      <w:r w:rsidRPr="00B5110F">
        <w:t>) s</w:t>
      </w:r>
      <w:r>
        <w:t xml:space="preserve"> 19(b). </w:t>
      </w:r>
    </w:p>
  </w:footnote>
  <w:footnote w:id="45">
    <w:p w14:paraId="732ED87A" w14:textId="77777777" w:rsidR="00A12251" w:rsidRDefault="00A12251" w:rsidP="00A12251">
      <w:pPr>
        <w:pStyle w:val="FootnoteText"/>
      </w:pPr>
      <w:r>
        <w:rPr>
          <w:rStyle w:val="FootnoteReference"/>
        </w:rPr>
        <w:footnoteRef/>
      </w:r>
      <w:r>
        <w:t xml:space="preserve"> The </w:t>
      </w:r>
      <w:proofErr w:type="spellStart"/>
      <w:r>
        <w:t>Hon</w:t>
      </w:r>
      <w:proofErr w:type="spellEnd"/>
      <w:r>
        <w:t xml:space="preserve"> JJ </w:t>
      </w:r>
      <w:proofErr w:type="spellStart"/>
      <w:r>
        <w:t>Spigelman</w:t>
      </w:r>
      <w:proofErr w:type="spellEnd"/>
      <w:r>
        <w:t xml:space="preserve"> AC, ‘Foreword’ in L </w:t>
      </w:r>
      <w:proofErr w:type="spellStart"/>
      <w:r>
        <w:t>Nottage</w:t>
      </w:r>
      <w:proofErr w:type="spellEnd"/>
      <w:r>
        <w:t xml:space="preserve"> and R Garnett (</w:t>
      </w:r>
      <w:proofErr w:type="spellStart"/>
      <w:r>
        <w:t>eds</w:t>
      </w:r>
      <w:proofErr w:type="spellEnd"/>
      <w:r>
        <w:t xml:space="preserve">), </w:t>
      </w:r>
      <w:r w:rsidRPr="008B6649">
        <w:rPr>
          <w:i/>
        </w:rPr>
        <w:t>International Arbitration in Australia</w:t>
      </w:r>
      <w:r>
        <w:t xml:space="preserve"> (The Federation Press, 2010) viii. </w:t>
      </w:r>
    </w:p>
  </w:footnote>
  <w:footnote w:id="46">
    <w:p w14:paraId="4DBFBEBD" w14:textId="77777777" w:rsidR="00BD1932" w:rsidRPr="008B6649" w:rsidRDefault="00BD1932" w:rsidP="00BD1932">
      <w:pPr>
        <w:pStyle w:val="FootnoteText"/>
      </w:pPr>
      <w:r>
        <w:rPr>
          <w:rStyle w:val="FootnoteReference"/>
        </w:rPr>
        <w:footnoteRef/>
      </w:r>
      <w:r>
        <w:t xml:space="preserve"> The </w:t>
      </w:r>
      <w:proofErr w:type="spellStart"/>
      <w:r>
        <w:t>Hon</w:t>
      </w:r>
      <w:proofErr w:type="spellEnd"/>
      <w:r>
        <w:t xml:space="preserve"> TF Bathurst AC, </w:t>
      </w:r>
      <w:r>
        <w:rPr>
          <w:i/>
        </w:rPr>
        <w:t xml:space="preserve">Opening </w:t>
      </w:r>
      <w:r w:rsidRPr="008B6649">
        <w:rPr>
          <w:i/>
        </w:rPr>
        <w:t>Address at the 4th International Arbitration Conference</w:t>
      </w:r>
      <w:r>
        <w:rPr>
          <w:i/>
        </w:rPr>
        <w:t xml:space="preserve"> </w:t>
      </w:r>
      <w:r>
        <w:t xml:space="preserve">(22 November 2016) [27]. </w:t>
      </w:r>
    </w:p>
  </w:footnote>
  <w:footnote w:id="47">
    <w:p w14:paraId="6733C039" w14:textId="77777777" w:rsidR="00A12251" w:rsidRPr="001C32D9" w:rsidRDefault="00A12251" w:rsidP="00A12251">
      <w:pPr>
        <w:pStyle w:val="FootnoteText"/>
        <w:rPr>
          <w:rFonts w:cs="Arial"/>
          <w:sz w:val="14"/>
        </w:rPr>
      </w:pPr>
      <w:r>
        <w:rPr>
          <w:rStyle w:val="FootnoteReference"/>
        </w:rPr>
        <w:footnoteRef/>
      </w:r>
      <w:r>
        <w:t xml:space="preserve"> </w:t>
      </w:r>
      <w:r>
        <w:rPr>
          <w:rFonts w:ascii="Cambria" w:hAnsi="Cambria"/>
          <w:color w:val="000000"/>
          <w:sz w:val="23"/>
          <w:szCs w:val="23"/>
          <w:shd w:val="clear" w:color="auto" w:fill="FFFFFF"/>
        </w:rPr>
        <w:t> </w:t>
      </w:r>
      <w:bookmarkStart w:id="1" w:name="_ftn15"/>
      <w:bookmarkEnd w:id="1"/>
      <w:r w:rsidRPr="001C32D9">
        <w:rPr>
          <w:rFonts w:cs="Arial"/>
          <w:color w:val="000000"/>
          <w:szCs w:val="23"/>
          <w:shd w:val="clear" w:color="auto" w:fill="FFFFFF"/>
        </w:rPr>
        <w:t xml:space="preserve">Justice James </w:t>
      </w:r>
      <w:proofErr w:type="spellStart"/>
      <w:r w:rsidRPr="001C32D9">
        <w:rPr>
          <w:rFonts w:cs="Arial"/>
          <w:color w:val="000000"/>
          <w:szCs w:val="23"/>
          <w:shd w:val="clear" w:color="auto" w:fill="FFFFFF"/>
        </w:rPr>
        <w:t>Allsop</w:t>
      </w:r>
      <w:proofErr w:type="spellEnd"/>
      <w:r w:rsidRPr="001C32D9">
        <w:rPr>
          <w:rFonts w:cs="Arial"/>
          <w:color w:val="000000"/>
          <w:szCs w:val="23"/>
          <w:shd w:val="clear" w:color="auto" w:fill="FFFFFF"/>
        </w:rPr>
        <w:t xml:space="preserve">, International Arbitration and the Courts: the Australian approach in </w:t>
      </w:r>
      <w:proofErr w:type="spellStart"/>
      <w:r w:rsidRPr="001C32D9">
        <w:rPr>
          <w:rFonts w:cs="Arial"/>
          <w:color w:val="000000"/>
          <w:szCs w:val="23"/>
          <w:shd w:val="clear" w:color="auto" w:fill="FFFFFF"/>
        </w:rPr>
        <w:t>CIArbs</w:t>
      </w:r>
      <w:proofErr w:type="spellEnd"/>
      <w:r w:rsidRPr="001C32D9">
        <w:rPr>
          <w:rFonts w:cs="Arial"/>
          <w:color w:val="000000"/>
          <w:szCs w:val="23"/>
          <w:shd w:val="clear" w:color="auto" w:fill="FFFFFF"/>
        </w:rPr>
        <w:t xml:space="preserve"> Asia Pacific Conference 2011</w:t>
      </w:r>
      <w:r>
        <w:rPr>
          <w:rFonts w:cs="Arial"/>
          <w:color w:val="000000"/>
          <w:szCs w:val="23"/>
          <w:shd w:val="clear" w:color="auto" w:fill="FFFFFF"/>
        </w:rPr>
        <w:t xml:space="preserve">, </w:t>
      </w:r>
      <w:r w:rsidRPr="001C32D9">
        <w:rPr>
          <w:rStyle w:val="Emphasis"/>
          <w:rFonts w:cs="Arial"/>
          <w:color w:val="000000"/>
          <w:szCs w:val="23"/>
          <w:shd w:val="clear" w:color="auto" w:fill="FFFFFF"/>
        </w:rPr>
        <w:t>Investment &amp; Innovation: International Dispute Resolution in the Asia Pacific</w:t>
      </w:r>
      <w:r w:rsidRPr="001C32D9">
        <w:rPr>
          <w:rFonts w:cs="Arial"/>
          <w:color w:val="000000"/>
          <w:szCs w:val="23"/>
          <w:shd w:val="clear" w:color="auto" w:fill="FFFFFF"/>
        </w:rPr>
        <w:t> (2011), 1 and 7</w:t>
      </w:r>
      <w:r>
        <w:rPr>
          <w:rFonts w:cs="Arial"/>
          <w:color w:val="000000"/>
          <w:szCs w:val="23"/>
          <w:shd w:val="clear" w:color="auto" w:fill="FFFFFF"/>
        </w:rPr>
        <w:t xml:space="preserve">, cited in Justice James </w:t>
      </w:r>
      <w:proofErr w:type="spellStart"/>
      <w:r>
        <w:rPr>
          <w:rFonts w:cs="Arial"/>
          <w:color w:val="000000"/>
          <w:szCs w:val="23"/>
          <w:shd w:val="clear" w:color="auto" w:fill="FFFFFF"/>
        </w:rPr>
        <w:t>Allsop</w:t>
      </w:r>
      <w:proofErr w:type="spellEnd"/>
      <w:r>
        <w:rPr>
          <w:rFonts w:cs="Arial"/>
          <w:color w:val="000000"/>
          <w:szCs w:val="23"/>
          <w:shd w:val="clear" w:color="auto" w:fill="FFFFFF"/>
        </w:rPr>
        <w:t xml:space="preserve">, "Judicial Support of Arbitration" (FCA) [2014] </w:t>
      </w:r>
      <w:proofErr w:type="spellStart"/>
      <w:r>
        <w:rPr>
          <w:rFonts w:cs="Arial"/>
          <w:color w:val="000000"/>
          <w:szCs w:val="23"/>
          <w:shd w:val="clear" w:color="auto" w:fill="FFFFFF"/>
        </w:rPr>
        <w:t>FedJSchol</w:t>
      </w:r>
      <w:proofErr w:type="spellEnd"/>
      <w:r>
        <w:rPr>
          <w:rFonts w:cs="Arial"/>
          <w:color w:val="000000"/>
          <w:szCs w:val="23"/>
          <w:shd w:val="clear" w:color="auto" w:fill="FFFFFF"/>
        </w:rPr>
        <w:t xml:space="preserve"> 5. </w:t>
      </w:r>
    </w:p>
  </w:footnote>
  <w:footnote w:id="48">
    <w:p w14:paraId="69151868" w14:textId="77777777" w:rsidR="00154C16" w:rsidRDefault="00154C16" w:rsidP="00154C16">
      <w:pPr>
        <w:pStyle w:val="FootnoteText"/>
      </w:pPr>
      <w:r>
        <w:rPr>
          <w:rStyle w:val="FootnoteReference"/>
        </w:rPr>
        <w:footnoteRef/>
      </w:r>
      <w:r>
        <w:t xml:space="preserve"> </w:t>
      </w:r>
      <w:r w:rsidRPr="00636D43">
        <w:rPr>
          <w:i/>
        </w:rPr>
        <w:t>Uganda Telecom v Hi-Tech Telecom</w:t>
      </w:r>
      <w:r>
        <w:t xml:space="preserve"> </w:t>
      </w:r>
      <w:r w:rsidRPr="00636D43">
        <w:t>[2011] FCA 131.</w:t>
      </w:r>
    </w:p>
  </w:footnote>
  <w:footnote w:id="49">
    <w:p w14:paraId="69564D9B" w14:textId="77777777" w:rsidR="00154C16" w:rsidRDefault="00154C16" w:rsidP="00154C16">
      <w:pPr>
        <w:pStyle w:val="FootnoteText"/>
      </w:pPr>
      <w:r>
        <w:rPr>
          <w:rStyle w:val="FootnoteReference"/>
        </w:rPr>
        <w:footnoteRef/>
      </w:r>
      <w:r>
        <w:t xml:space="preserve"> </w:t>
      </w:r>
      <w:r w:rsidRPr="000C3B1F">
        <w:rPr>
          <w:i/>
        </w:rPr>
        <w:t>Uganda Telecom Limited v Hi-Tech Telecom Pty Ltd</w:t>
      </w:r>
      <w:r w:rsidRPr="000C3B1F">
        <w:t xml:space="preserve"> [2011] FCA 131 at [126]</w:t>
      </w:r>
      <w:r>
        <w:t>.</w:t>
      </w:r>
    </w:p>
  </w:footnote>
  <w:footnote w:id="50">
    <w:p w14:paraId="570A943E" w14:textId="77777777" w:rsidR="001721A7" w:rsidRPr="00A313FF" w:rsidRDefault="001721A7" w:rsidP="001721A7">
      <w:pPr>
        <w:pStyle w:val="FootnoteText"/>
        <w:rPr>
          <w:i/>
        </w:rPr>
      </w:pPr>
      <w:r>
        <w:rPr>
          <w:rStyle w:val="FootnoteReference"/>
        </w:rPr>
        <w:footnoteRef/>
      </w:r>
      <w:r>
        <w:t xml:space="preserve"> Queen Mary University of London and White &amp; Case, </w:t>
      </w:r>
      <w:r>
        <w:rPr>
          <w:i/>
        </w:rPr>
        <w:t>2015 International Arbitration Survey: Improvements and Innovations in International Arbitration</w:t>
      </w:r>
      <w:r>
        <w:t xml:space="preserve"> (6 October 2015) 6. </w:t>
      </w:r>
      <w:r>
        <w:rPr>
          <w:i/>
        </w:rPr>
        <w:t xml:space="preserve"> </w:t>
      </w:r>
    </w:p>
  </w:footnote>
  <w:footnote w:id="51">
    <w:p w14:paraId="201FD74D" w14:textId="77777777" w:rsidR="00A12251" w:rsidRDefault="00A12251" w:rsidP="00A12251">
      <w:pPr>
        <w:pStyle w:val="FootnoteText"/>
      </w:pPr>
      <w:r>
        <w:rPr>
          <w:rStyle w:val="FootnoteReference"/>
        </w:rPr>
        <w:footnoteRef/>
      </w:r>
      <w:r w:rsidRPr="00CE44A4">
        <w:rPr>
          <w:i/>
        </w:rPr>
        <w:t xml:space="preserve"> TCL Air Conditioner (</w:t>
      </w:r>
      <w:proofErr w:type="spellStart"/>
      <w:r w:rsidRPr="00CE44A4">
        <w:rPr>
          <w:i/>
        </w:rPr>
        <w:t>Zhongshan</w:t>
      </w:r>
      <w:proofErr w:type="spellEnd"/>
      <w:r w:rsidRPr="00CE44A4">
        <w:rPr>
          <w:i/>
        </w:rPr>
        <w:t xml:space="preserve">) Co Ltd v The Judges of the Federal Court of Australia </w:t>
      </w:r>
      <w:r w:rsidRPr="00CE44A4">
        <w:t>[2013] HCA 5.</w:t>
      </w:r>
    </w:p>
  </w:footnote>
  <w:footnote w:id="52">
    <w:p w14:paraId="6E742BC5" w14:textId="77777777" w:rsidR="00B13297" w:rsidRDefault="00B13297" w:rsidP="00B13297">
      <w:pPr>
        <w:pStyle w:val="FootnoteText"/>
      </w:pPr>
      <w:r>
        <w:rPr>
          <w:rStyle w:val="FootnoteReference"/>
        </w:rPr>
        <w:footnoteRef/>
      </w:r>
      <w:r>
        <w:t xml:space="preserve"> </w:t>
      </w:r>
      <w:r w:rsidRPr="00CE44A4">
        <w:rPr>
          <w:i/>
        </w:rPr>
        <w:t>TCL Air Conditioner (</w:t>
      </w:r>
      <w:proofErr w:type="spellStart"/>
      <w:r w:rsidRPr="00CE44A4">
        <w:rPr>
          <w:i/>
        </w:rPr>
        <w:t>Zhongshan</w:t>
      </w:r>
      <w:proofErr w:type="spellEnd"/>
      <w:r w:rsidRPr="00CE44A4">
        <w:rPr>
          <w:i/>
        </w:rPr>
        <w:t xml:space="preserve">) Co Ltd v The Judges of the Federal Court of Australia </w:t>
      </w:r>
      <w:r w:rsidRPr="00CE44A4">
        <w:t>[2013] HCA 5</w:t>
      </w:r>
      <w:r>
        <w:t xml:space="preserve"> [40], [111]. </w:t>
      </w:r>
    </w:p>
  </w:footnote>
  <w:footnote w:id="53">
    <w:p w14:paraId="75FEF79E" w14:textId="77777777" w:rsidR="00A12251" w:rsidRDefault="00A12251" w:rsidP="00A12251">
      <w:pPr>
        <w:pStyle w:val="FootnoteText"/>
      </w:pPr>
      <w:r>
        <w:rPr>
          <w:rStyle w:val="FootnoteReference"/>
        </w:rPr>
        <w:footnoteRef/>
      </w:r>
      <w:r>
        <w:t xml:space="preserve"> </w:t>
      </w:r>
      <w:r w:rsidRPr="00782DA9">
        <w:rPr>
          <w:i/>
        </w:rPr>
        <w:t>TCL Air Conditioner (</w:t>
      </w:r>
      <w:proofErr w:type="spellStart"/>
      <w:r w:rsidRPr="00782DA9">
        <w:rPr>
          <w:i/>
        </w:rPr>
        <w:t>Zhongshan</w:t>
      </w:r>
      <w:proofErr w:type="spellEnd"/>
      <w:r w:rsidRPr="00782DA9">
        <w:rPr>
          <w:i/>
        </w:rPr>
        <w:t>) Co Ltd v Castel Electronics Pty Ltd</w:t>
      </w:r>
      <w:r w:rsidRPr="00782DA9">
        <w:t xml:space="preserve"> [2014] FCAFC 83</w:t>
      </w:r>
      <w:r>
        <w:t>.</w:t>
      </w:r>
    </w:p>
  </w:footnote>
  <w:footnote w:id="54">
    <w:p w14:paraId="516E6A5C" w14:textId="77777777" w:rsidR="00A12251" w:rsidRDefault="00A12251" w:rsidP="00A12251">
      <w:pPr>
        <w:pStyle w:val="FootnoteText"/>
      </w:pPr>
      <w:r>
        <w:rPr>
          <w:rStyle w:val="FootnoteReference"/>
        </w:rPr>
        <w:footnoteRef/>
      </w:r>
      <w:r>
        <w:t xml:space="preserve"> </w:t>
      </w:r>
      <w:r w:rsidRPr="000C3B1F">
        <w:rPr>
          <w:i/>
        </w:rPr>
        <w:t>Uganda Telecom Limited v Hi-Tech Telecom Pty Ltd</w:t>
      </w:r>
      <w:r w:rsidRPr="000C3B1F">
        <w:t xml:space="preserve"> [2011] FCA 131</w:t>
      </w:r>
      <w:r>
        <w:t>.</w:t>
      </w:r>
    </w:p>
  </w:footnote>
  <w:footnote w:id="55">
    <w:p w14:paraId="13F33AB2" w14:textId="77777777" w:rsidR="00A12251" w:rsidRDefault="00A12251" w:rsidP="00A12251">
      <w:pPr>
        <w:pStyle w:val="FootnoteText"/>
      </w:pPr>
      <w:r>
        <w:rPr>
          <w:rStyle w:val="FootnoteReference"/>
        </w:rPr>
        <w:footnoteRef/>
      </w:r>
      <w:r>
        <w:t xml:space="preserve"> </w:t>
      </w:r>
      <w:r w:rsidRPr="00782DA9">
        <w:rPr>
          <w:i/>
        </w:rPr>
        <w:t>William Hare UAE LLC v Aircraft Support Industries Pty Ltd</w:t>
      </w:r>
      <w:r w:rsidRPr="00782DA9">
        <w:t xml:space="preserve"> [2014] NSWSC 1403</w:t>
      </w:r>
      <w:r>
        <w:t xml:space="preserve">, affirmed on appeal in </w:t>
      </w:r>
      <w:r w:rsidRPr="00782DA9">
        <w:t>[2015] NSWCA 229</w:t>
      </w:r>
      <w:r>
        <w:t xml:space="preserve">. </w:t>
      </w:r>
    </w:p>
  </w:footnote>
  <w:footnote w:id="56">
    <w:p w14:paraId="751F6806" w14:textId="77777777" w:rsidR="00A12251" w:rsidRPr="001462E9" w:rsidRDefault="00A12251" w:rsidP="00A12251">
      <w:pPr>
        <w:pStyle w:val="FootnoteText"/>
      </w:pPr>
      <w:r>
        <w:rPr>
          <w:rStyle w:val="FootnoteReference"/>
        </w:rPr>
        <w:footnoteRef/>
      </w:r>
      <w:r>
        <w:t xml:space="preserve"> </w:t>
      </w:r>
      <w:r>
        <w:rPr>
          <w:i/>
        </w:rPr>
        <w:t xml:space="preserve">IAA </w:t>
      </w:r>
      <w:r>
        <w:t>1974 (</w:t>
      </w:r>
      <w:proofErr w:type="spellStart"/>
      <w:r>
        <w:t>Cth</w:t>
      </w:r>
      <w:proofErr w:type="spellEnd"/>
      <w:r>
        <w:t xml:space="preserve">) s 3(1) (definition of 'arbitration agreement'). </w:t>
      </w:r>
    </w:p>
  </w:footnote>
  <w:footnote w:id="57">
    <w:p w14:paraId="50E69235" w14:textId="77777777" w:rsidR="00A12251" w:rsidRPr="00104871" w:rsidRDefault="00A12251" w:rsidP="00A12251">
      <w:pPr>
        <w:pStyle w:val="FootnoteText"/>
        <w:rPr>
          <w:szCs w:val="18"/>
        </w:rPr>
      </w:pPr>
      <w:r w:rsidRPr="00104871">
        <w:rPr>
          <w:rStyle w:val="FootnoteReference"/>
          <w:szCs w:val="18"/>
        </w:rPr>
        <w:footnoteRef/>
      </w:r>
      <w:r w:rsidRPr="00104871">
        <w:rPr>
          <w:szCs w:val="18"/>
        </w:rPr>
        <w:t xml:space="preserve"> </w:t>
      </w:r>
      <w:r w:rsidRPr="00104871">
        <w:rPr>
          <w:i/>
          <w:szCs w:val="18"/>
        </w:rPr>
        <w:t xml:space="preserve">PMT Partners Pty Ltd (in </w:t>
      </w:r>
      <w:proofErr w:type="spellStart"/>
      <w:r w:rsidRPr="00104871">
        <w:rPr>
          <w:i/>
          <w:szCs w:val="18"/>
        </w:rPr>
        <w:t>liq</w:t>
      </w:r>
      <w:proofErr w:type="spellEnd"/>
      <w:r w:rsidRPr="00104871">
        <w:rPr>
          <w:i/>
          <w:szCs w:val="18"/>
        </w:rPr>
        <w:t>) v Australian National Parks and Wildlife Service</w:t>
      </w:r>
      <w:r w:rsidRPr="00104871">
        <w:rPr>
          <w:szCs w:val="18"/>
        </w:rPr>
        <w:t xml:space="preserve"> (1995) 184 CLR 301.</w:t>
      </w:r>
    </w:p>
  </w:footnote>
  <w:footnote w:id="58">
    <w:p w14:paraId="37672ACD" w14:textId="77777777" w:rsidR="00A12251" w:rsidRPr="00104871" w:rsidRDefault="00A12251" w:rsidP="00A12251">
      <w:pPr>
        <w:pStyle w:val="FootnoteText"/>
        <w:rPr>
          <w:szCs w:val="18"/>
        </w:rPr>
      </w:pPr>
      <w:r w:rsidRPr="00104871">
        <w:rPr>
          <w:rStyle w:val="FootnoteReference"/>
          <w:szCs w:val="18"/>
        </w:rPr>
        <w:footnoteRef/>
      </w:r>
      <w:r w:rsidRPr="00104871">
        <w:rPr>
          <w:szCs w:val="18"/>
        </w:rPr>
        <w:t xml:space="preserve"> </w:t>
      </w:r>
      <w:r w:rsidRPr="00104871">
        <w:rPr>
          <w:i/>
          <w:szCs w:val="18"/>
        </w:rPr>
        <w:t xml:space="preserve">Siemens Ltd v Origin Energy Uranquinty Power Pty Ltd </w:t>
      </w:r>
      <w:r w:rsidRPr="00104871">
        <w:rPr>
          <w:szCs w:val="18"/>
        </w:rPr>
        <w:t xml:space="preserve">(2011) 279 ALR 759; </w:t>
      </w:r>
      <w:proofErr w:type="spellStart"/>
      <w:r w:rsidRPr="00104871">
        <w:rPr>
          <w:szCs w:val="18"/>
        </w:rPr>
        <w:t>Mustill</w:t>
      </w:r>
      <w:proofErr w:type="spellEnd"/>
      <w:r w:rsidRPr="00104871">
        <w:rPr>
          <w:szCs w:val="18"/>
        </w:rPr>
        <w:t xml:space="preserve"> &amp; Boyd, </w:t>
      </w:r>
      <w:r w:rsidRPr="00104871">
        <w:rPr>
          <w:i/>
          <w:szCs w:val="18"/>
        </w:rPr>
        <w:t>Commercial Arbitration</w:t>
      </w:r>
      <w:r w:rsidRPr="00104871">
        <w:rPr>
          <w:szCs w:val="18"/>
        </w:rPr>
        <w:t xml:space="preserve">, 2nd </w:t>
      </w:r>
      <w:proofErr w:type="spellStart"/>
      <w:r w:rsidRPr="00104871">
        <w:rPr>
          <w:szCs w:val="18"/>
        </w:rPr>
        <w:t>ed</w:t>
      </w:r>
      <w:proofErr w:type="spellEnd"/>
      <w:r w:rsidRPr="00104871">
        <w:rPr>
          <w:szCs w:val="18"/>
        </w:rPr>
        <w:t xml:space="preserve"> (1989) </w:t>
      </w:r>
      <w:proofErr w:type="spellStart"/>
      <w:r w:rsidRPr="00104871">
        <w:rPr>
          <w:szCs w:val="18"/>
        </w:rPr>
        <w:t>Butterworths</w:t>
      </w:r>
      <w:proofErr w:type="spellEnd"/>
      <w:r w:rsidRPr="00104871">
        <w:rPr>
          <w:szCs w:val="18"/>
        </w:rPr>
        <w:t xml:space="preserve"> at 149.</w:t>
      </w:r>
    </w:p>
  </w:footnote>
  <w:footnote w:id="59">
    <w:p w14:paraId="0BE1D12B" w14:textId="77777777" w:rsidR="00A12251" w:rsidRPr="00DE7E91" w:rsidRDefault="00A12251" w:rsidP="00A12251">
      <w:pPr>
        <w:pStyle w:val="FootnoteText"/>
        <w:rPr>
          <w:szCs w:val="18"/>
        </w:rPr>
      </w:pPr>
      <w:r w:rsidRPr="00104871">
        <w:rPr>
          <w:rStyle w:val="FootnoteReference"/>
          <w:szCs w:val="18"/>
        </w:rPr>
        <w:footnoteRef/>
      </w:r>
      <w:r w:rsidRPr="00104871">
        <w:rPr>
          <w:szCs w:val="18"/>
        </w:rPr>
        <w:t xml:space="preserve"> </w:t>
      </w:r>
      <w:proofErr w:type="spellStart"/>
      <w:r w:rsidRPr="00104871">
        <w:rPr>
          <w:i/>
          <w:szCs w:val="18"/>
        </w:rPr>
        <w:t>Comandate</w:t>
      </w:r>
      <w:proofErr w:type="spellEnd"/>
      <w:r w:rsidRPr="00104871">
        <w:rPr>
          <w:i/>
          <w:szCs w:val="18"/>
        </w:rPr>
        <w:t xml:space="preserve"> Marine Corp v Pan Australia Shipping Pty Ltd</w:t>
      </w:r>
      <w:r w:rsidRPr="00104871">
        <w:rPr>
          <w:szCs w:val="18"/>
        </w:rPr>
        <w:t xml:space="preserve"> (2006) 157 FCR 45 at 97-98 per </w:t>
      </w:r>
      <w:proofErr w:type="spellStart"/>
      <w:r w:rsidRPr="00104871">
        <w:rPr>
          <w:szCs w:val="18"/>
        </w:rPr>
        <w:t>Allsop</w:t>
      </w:r>
      <w:proofErr w:type="spellEnd"/>
      <w:r w:rsidRPr="00104871">
        <w:rPr>
          <w:szCs w:val="18"/>
        </w:rPr>
        <w:t xml:space="preserve"> J (concerning an international commercial arbitration governed by the Model Law); </w:t>
      </w:r>
      <w:r w:rsidRPr="00DE7E91">
        <w:rPr>
          <w:i/>
          <w:szCs w:val="18"/>
        </w:rPr>
        <w:t xml:space="preserve">Nicola v Ideal Image Development Corporation </w:t>
      </w:r>
      <w:proofErr w:type="spellStart"/>
      <w:r w:rsidRPr="00DE7E91">
        <w:rPr>
          <w:i/>
          <w:szCs w:val="18"/>
        </w:rPr>
        <w:t>Inc</w:t>
      </w:r>
      <w:proofErr w:type="spellEnd"/>
      <w:r w:rsidRPr="00DE7E91">
        <w:rPr>
          <w:i/>
          <w:szCs w:val="18"/>
        </w:rPr>
        <w:t xml:space="preserve"> </w:t>
      </w:r>
      <w:r w:rsidRPr="00DE7E91">
        <w:rPr>
          <w:szCs w:val="18"/>
        </w:rPr>
        <w:t>(2009) 261 ALR 1.</w:t>
      </w:r>
    </w:p>
  </w:footnote>
  <w:footnote w:id="60">
    <w:p w14:paraId="7122182A" w14:textId="77777777" w:rsidR="00A12251" w:rsidRPr="00104871" w:rsidRDefault="00A12251" w:rsidP="00A12251">
      <w:pPr>
        <w:pStyle w:val="FootnoteText"/>
        <w:rPr>
          <w:szCs w:val="18"/>
        </w:rPr>
      </w:pPr>
      <w:r w:rsidRPr="00104871">
        <w:rPr>
          <w:rStyle w:val="FootnoteReference"/>
          <w:szCs w:val="18"/>
        </w:rPr>
        <w:footnoteRef/>
      </w:r>
      <w:r w:rsidRPr="00104871">
        <w:rPr>
          <w:szCs w:val="18"/>
        </w:rPr>
        <w:t xml:space="preserve"> </w:t>
      </w:r>
      <w:r w:rsidRPr="00104871">
        <w:rPr>
          <w:i/>
          <w:szCs w:val="18"/>
        </w:rPr>
        <w:t xml:space="preserve">AED Oil v Puffin FPSO Ltd </w:t>
      </w:r>
      <w:r w:rsidRPr="00104871">
        <w:rPr>
          <w:szCs w:val="18"/>
        </w:rPr>
        <w:t>[2009] VSC 534 at [45].</w:t>
      </w:r>
    </w:p>
  </w:footnote>
  <w:footnote w:id="61">
    <w:p w14:paraId="4405F047" w14:textId="77777777" w:rsidR="00A12251" w:rsidRPr="00DE7E91" w:rsidRDefault="00A12251" w:rsidP="00A12251">
      <w:pPr>
        <w:pStyle w:val="FootnoteText"/>
        <w:rPr>
          <w:szCs w:val="18"/>
        </w:rPr>
      </w:pPr>
      <w:r w:rsidRPr="00104871">
        <w:rPr>
          <w:rStyle w:val="FootnoteReference"/>
          <w:szCs w:val="18"/>
        </w:rPr>
        <w:footnoteRef/>
      </w:r>
      <w:r w:rsidRPr="00104871">
        <w:rPr>
          <w:szCs w:val="18"/>
        </w:rPr>
        <w:t xml:space="preserve"> Statute-barred; see </w:t>
      </w:r>
      <w:r w:rsidRPr="00104871">
        <w:rPr>
          <w:i/>
          <w:szCs w:val="18"/>
        </w:rPr>
        <w:t>Insurance Contracts Act 1984</w:t>
      </w:r>
      <w:r w:rsidRPr="00104871">
        <w:rPr>
          <w:szCs w:val="18"/>
        </w:rPr>
        <w:t xml:space="preserve"> (</w:t>
      </w:r>
      <w:proofErr w:type="spellStart"/>
      <w:r w:rsidRPr="00104871">
        <w:rPr>
          <w:szCs w:val="18"/>
        </w:rPr>
        <w:t>Cth</w:t>
      </w:r>
      <w:proofErr w:type="spellEnd"/>
      <w:r w:rsidRPr="00104871">
        <w:rPr>
          <w:szCs w:val="18"/>
        </w:rPr>
        <w:t>) s 43(1).</w:t>
      </w:r>
    </w:p>
  </w:footnote>
  <w:footnote w:id="62">
    <w:p w14:paraId="32DFB8B9" w14:textId="77777777" w:rsidR="00A12251" w:rsidRPr="00104871" w:rsidRDefault="00A12251" w:rsidP="00A12251">
      <w:pPr>
        <w:pStyle w:val="FootnoteText"/>
        <w:rPr>
          <w:szCs w:val="18"/>
        </w:rPr>
      </w:pPr>
      <w:r w:rsidRPr="00104871">
        <w:rPr>
          <w:rStyle w:val="FootnoteReference"/>
          <w:szCs w:val="18"/>
        </w:rPr>
        <w:footnoteRef/>
      </w:r>
      <w:r w:rsidRPr="00104871">
        <w:rPr>
          <w:szCs w:val="18"/>
        </w:rPr>
        <w:t xml:space="preserve"> </w:t>
      </w:r>
      <w:proofErr w:type="spellStart"/>
      <w:r w:rsidRPr="00104871">
        <w:rPr>
          <w:i/>
          <w:szCs w:val="18"/>
        </w:rPr>
        <w:t>Metrocall</w:t>
      </w:r>
      <w:proofErr w:type="spellEnd"/>
      <w:r w:rsidRPr="00104871">
        <w:rPr>
          <w:i/>
          <w:szCs w:val="18"/>
        </w:rPr>
        <w:t xml:space="preserve"> </w:t>
      </w:r>
      <w:proofErr w:type="spellStart"/>
      <w:r w:rsidRPr="00104871">
        <w:rPr>
          <w:i/>
          <w:szCs w:val="18"/>
        </w:rPr>
        <w:t>Inc</w:t>
      </w:r>
      <w:proofErr w:type="spellEnd"/>
      <w:r w:rsidRPr="00104871">
        <w:rPr>
          <w:i/>
          <w:szCs w:val="18"/>
        </w:rPr>
        <w:t xml:space="preserve"> (Successor by Merger to </w:t>
      </w:r>
      <w:proofErr w:type="spellStart"/>
      <w:r w:rsidRPr="00104871">
        <w:rPr>
          <w:i/>
          <w:szCs w:val="18"/>
        </w:rPr>
        <w:t>Pronet</w:t>
      </w:r>
      <w:proofErr w:type="spellEnd"/>
      <w:r w:rsidRPr="00104871">
        <w:rPr>
          <w:i/>
          <w:szCs w:val="18"/>
        </w:rPr>
        <w:t xml:space="preserve"> In) v Electronic Tracking Systems Pty Ltd</w:t>
      </w:r>
      <w:r w:rsidRPr="00104871">
        <w:rPr>
          <w:szCs w:val="18"/>
        </w:rPr>
        <w:t xml:space="preserve"> (2000) 52 NSWLR 1.</w:t>
      </w:r>
    </w:p>
  </w:footnote>
  <w:footnote w:id="63">
    <w:p w14:paraId="4BBE5E62" w14:textId="77777777" w:rsidR="00A12251" w:rsidRPr="00863D4A" w:rsidRDefault="00A12251" w:rsidP="00A12251">
      <w:pPr>
        <w:pStyle w:val="FootnoteText"/>
        <w:rPr>
          <w:szCs w:val="18"/>
        </w:rPr>
      </w:pPr>
      <w:r w:rsidRPr="00104871">
        <w:rPr>
          <w:rStyle w:val="FootnoteReference"/>
          <w:szCs w:val="18"/>
        </w:rPr>
        <w:footnoteRef/>
      </w:r>
      <w:r w:rsidRPr="00104871">
        <w:rPr>
          <w:i/>
          <w:szCs w:val="18"/>
        </w:rPr>
        <w:t xml:space="preserve"> </w:t>
      </w:r>
      <w:r w:rsidRPr="00104871">
        <w:rPr>
          <w:szCs w:val="18"/>
        </w:rPr>
        <w:t>Some domestic building disputes are barred from arbitration by statute</w:t>
      </w:r>
      <w:r w:rsidRPr="00104871">
        <w:rPr>
          <w:i/>
          <w:szCs w:val="18"/>
        </w:rPr>
        <w:t xml:space="preserve">, </w:t>
      </w:r>
      <w:r w:rsidRPr="00863D4A">
        <w:rPr>
          <w:szCs w:val="18"/>
        </w:rPr>
        <w:t xml:space="preserve">see for example </w:t>
      </w:r>
      <w:r w:rsidRPr="00104871">
        <w:rPr>
          <w:i/>
          <w:szCs w:val="18"/>
        </w:rPr>
        <w:t>Home Building Act 1989</w:t>
      </w:r>
      <w:r w:rsidRPr="00104871">
        <w:rPr>
          <w:szCs w:val="18"/>
        </w:rPr>
        <w:t xml:space="preserve"> (NSW) s 7C. See generally Doug Jones, </w:t>
      </w:r>
      <w:r w:rsidRPr="00104871">
        <w:rPr>
          <w:i/>
          <w:szCs w:val="18"/>
        </w:rPr>
        <w:t>Commercial Arbitration in Australia</w:t>
      </w:r>
      <w:r w:rsidRPr="00104871">
        <w:rPr>
          <w:szCs w:val="18"/>
        </w:rPr>
        <w:t>, 2011, pp 152-161.</w:t>
      </w:r>
    </w:p>
  </w:footnote>
  <w:footnote w:id="64">
    <w:p w14:paraId="6137B2E3" w14:textId="77777777" w:rsidR="00A12251" w:rsidRPr="00DE7E91" w:rsidRDefault="00A12251" w:rsidP="00A12251">
      <w:pPr>
        <w:pStyle w:val="FootnoteText"/>
        <w:rPr>
          <w:szCs w:val="18"/>
        </w:rPr>
      </w:pPr>
      <w:r w:rsidRPr="00104871">
        <w:rPr>
          <w:rStyle w:val="FootnoteReference"/>
          <w:szCs w:val="18"/>
        </w:rPr>
        <w:footnoteRef/>
      </w:r>
      <w:r w:rsidRPr="00104871">
        <w:rPr>
          <w:szCs w:val="18"/>
        </w:rPr>
        <w:t xml:space="preserve"> See, </w:t>
      </w:r>
      <w:r w:rsidRPr="00104871">
        <w:rPr>
          <w:i/>
          <w:szCs w:val="18"/>
        </w:rPr>
        <w:t>inter alia</w:t>
      </w:r>
      <w:r w:rsidRPr="00104871">
        <w:rPr>
          <w:szCs w:val="18"/>
        </w:rPr>
        <w:t xml:space="preserve">, </w:t>
      </w:r>
      <w:proofErr w:type="spellStart"/>
      <w:r w:rsidRPr="00104871">
        <w:rPr>
          <w:i/>
          <w:szCs w:val="18"/>
        </w:rPr>
        <w:t>Comandate</w:t>
      </w:r>
      <w:proofErr w:type="spellEnd"/>
      <w:r w:rsidRPr="00104871">
        <w:rPr>
          <w:i/>
          <w:szCs w:val="18"/>
        </w:rPr>
        <w:t xml:space="preserve"> Marine Corp v Pan Australia Shipping Pty Ltd</w:t>
      </w:r>
      <w:r w:rsidRPr="00104871">
        <w:rPr>
          <w:szCs w:val="18"/>
        </w:rPr>
        <w:t xml:space="preserve"> (2006) 157 FCR 45, </w:t>
      </w:r>
      <w:r w:rsidRPr="00104871">
        <w:rPr>
          <w:i/>
          <w:szCs w:val="18"/>
        </w:rPr>
        <w:t xml:space="preserve">Nicola v Ideal Image Development Corporation </w:t>
      </w:r>
      <w:proofErr w:type="spellStart"/>
      <w:r w:rsidRPr="00104871">
        <w:rPr>
          <w:i/>
          <w:szCs w:val="18"/>
        </w:rPr>
        <w:t>Inc</w:t>
      </w:r>
      <w:proofErr w:type="spellEnd"/>
      <w:r w:rsidRPr="00104871">
        <w:rPr>
          <w:i/>
          <w:szCs w:val="18"/>
        </w:rPr>
        <w:t xml:space="preserve"> </w:t>
      </w:r>
      <w:r w:rsidRPr="00104871">
        <w:rPr>
          <w:szCs w:val="18"/>
        </w:rPr>
        <w:t xml:space="preserve">(2009) 261 ALR 1; </w:t>
      </w:r>
      <w:r w:rsidRPr="00104871">
        <w:rPr>
          <w:i/>
          <w:szCs w:val="18"/>
        </w:rPr>
        <w:t xml:space="preserve">ACD </w:t>
      </w:r>
      <w:proofErr w:type="spellStart"/>
      <w:r w:rsidRPr="00104871">
        <w:rPr>
          <w:i/>
          <w:szCs w:val="18"/>
        </w:rPr>
        <w:t>Tridon</w:t>
      </w:r>
      <w:proofErr w:type="spellEnd"/>
      <w:r w:rsidRPr="00104871">
        <w:rPr>
          <w:i/>
          <w:szCs w:val="18"/>
        </w:rPr>
        <w:t xml:space="preserve"> </w:t>
      </w:r>
      <w:proofErr w:type="spellStart"/>
      <w:r w:rsidRPr="00104871">
        <w:rPr>
          <w:i/>
          <w:szCs w:val="18"/>
        </w:rPr>
        <w:t>Inc</w:t>
      </w:r>
      <w:proofErr w:type="spellEnd"/>
      <w:r w:rsidRPr="00104871">
        <w:rPr>
          <w:i/>
          <w:szCs w:val="18"/>
        </w:rPr>
        <w:t xml:space="preserve"> v </w:t>
      </w:r>
      <w:proofErr w:type="spellStart"/>
      <w:r w:rsidRPr="00104871">
        <w:rPr>
          <w:i/>
          <w:szCs w:val="18"/>
        </w:rPr>
        <w:t>Tridon</w:t>
      </w:r>
      <w:proofErr w:type="spellEnd"/>
      <w:r w:rsidRPr="00104871">
        <w:rPr>
          <w:i/>
          <w:szCs w:val="18"/>
        </w:rPr>
        <w:t xml:space="preserve"> Australia Pty Ltd </w:t>
      </w:r>
      <w:r w:rsidRPr="00104871">
        <w:rPr>
          <w:szCs w:val="18"/>
        </w:rPr>
        <w:t xml:space="preserve">[2002] NSWSC 896; </w:t>
      </w:r>
      <w:r w:rsidRPr="00104871">
        <w:rPr>
          <w:i/>
          <w:szCs w:val="18"/>
        </w:rPr>
        <w:t>IBM Australia Ltd v National Distrib</w:t>
      </w:r>
      <w:r w:rsidRPr="00DE7E91">
        <w:rPr>
          <w:i/>
          <w:szCs w:val="18"/>
        </w:rPr>
        <w:t xml:space="preserve">ution Services Ltd </w:t>
      </w:r>
      <w:r w:rsidRPr="00DE7E91">
        <w:rPr>
          <w:szCs w:val="18"/>
        </w:rPr>
        <w:t xml:space="preserve">(1991) 22 NSWLR 466; </w:t>
      </w:r>
      <w:r w:rsidRPr="00DE7E91">
        <w:rPr>
          <w:i/>
          <w:szCs w:val="18"/>
        </w:rPr>
        <w:t>Rinehart v Welker</w:t>
      </w:r>
      <w:r w:rsidRPr="00DE7E91">
        <w:rPr>
          <w:szCs w:val="18"/>
        </w:rPr>
        <w:t xml:space="preserve"> [2012] NSWCA 95.</w:t>
      </w:r>
    </w:p>
  </w:footnote>
  <w:footnote w:id="65">
    <w:p w14:paraId="30D68DC6" w14:textId="77777777" w:rsidR="00A12251" w:rsidRPr="004A1D63" w:rsidRDefault="00A12251" w:rsidP="00A12251">
      <w:pPr>
        <w:pStyle w:val="FootnoteText"/>
      </w:pPr>
      <w:r>
        <w:rPr>
          <w:rStyle w:val="FootnoteReference"/>
        </w:rPr>
        <w:footnoteRef/>
      </w:r>
      <w:r>
        <w:t xml:space="preserve"> </w:t>
      </w:r>
      <w:r>
        <w:rPr>
          <w:i/>
        </w:rPr>
        <w:t>ACICA Arbitration Rules Incorporating the Emergency Arbitrator Provisions</w:t>
      </w:r>
      <w:r>
        <w:t xml:space="preserve"> 2016 art 3 ('</w:t>
      </w:r>
      <w:r>
        <w:rPr>
          <w:i/>
        </w:rPr>
        <w:t>ACICA Rules</w:t>
      </w:r>
      <w:r>
        <w:t xml:space="preserve">'). </w:t>
      </w:r>
    </w:p>
  </w:footnote>
  <w:footnote w:id="66">
    <w:p w14:paraId="3209C091" w14:textId="77777777" w:rsidR="00A12251" w:rsidRPr="004A1D63" w:rsidRDefault="00A12251" w:rsidP="00A12251">
      <w:pPr>
        <w:pStyle w:val="FootnoteText"/>
      </w:pPr>
      <w:r>
        <w:rPr>
          <w:rStyle w:val="FootnoteReference"/>
        </w:rPr>
        <w:footnoteRef/>
      </w:r>
      <w:r>
        <w:t xml:space="preserve"> </w:t>
      </w:r>
      <w:r>
        <w:rPr>
          <w:i/>
        </w:rPr>
        <w:t xml:space="preserve">ACICA Rules </w:t>
      </w:r>
      <w:r>
        <w:t xml:space="preserve">2016 art 21.3. </w:t>
      </w:r>
    </w:p>
  </w:footnote>
  <w:footnote w:id="67">
    <w:p w14:paraId="3B2D5A23" w14:textId="77777777" w:rsidR="00A12251" w:rsidRDefault="00A12251" w:rsidP="00A12251">
      <w:pPr>
        <w:pStyle w:val="FootnoteText"/>
      </w:pPr>
      <w:r>
        <w:rPr>
          <w:rStyle w:val="FootnoteReference"/>
        </w:rPr>
        <w:footnoteRef/>
      </w:r>
      <w:r>
        <w:t xml:space="preserve"> </w:t>
      </w:r>
      <w:r>
        <w:rPr>
          <w:i/>
        </w:rPr>
        <w:t xml:space="preserve">ACICA Rules </w:t>
      </w:r>
      <w:r>
        <w:t>2016 art 14.</w:t>
      </w:r>
    </w:p>
  </w:footnote>
  <w:footnote w:id="68">
    <w:p w14:paraId="55E7B3ED" w14:textId="77777777" w:rsidR="00A12251" w:rsidRDefault="00A12251" w:rsidP="00A12251">
      <w:pPr>
        <w:pStyle w:val="FootnoteText"/>
      </w:pPr>
      <w:r>
        <w:rPr>
          <w:rStyle w:val="FootnoteReference"/>
        </w:rPr>
        <w:footnoteRef/>
      </w:r>
      <w:r>
        <w:t xml:space="preserve"> </w:t>
      </w:r>
      <w:r>
        <w:rPr>
          <w:i/>
        </w:rPr>
        <w:t xml:space="preserve">ACICA Rules </w:t>
      </w:r>
      <w:r>
        <w:t>2016 art 49</w:t>
      </w:r>
    </w:p>
  </w:footnote>
  <w:footnote w:id="69">
    <w:p w14:paraId="34EE6251" w14:textId="77777777" w:rsidR="00A12251" w:rsidRDefault="00A12251" w:rsidP="00A12251">
      <w:pPr>
        <w:pStyle w:val="FootnoteText"/>
      </w:pPr>
      <w:r>
        <w:rPr>
          <w:rStyle w:val="FootnoteReference"/>
        </w:rPr>
        <w:footnoteRef/>
      </w:r>
      <w:r>
        <w:t xml:space="preserve"> </w:t>
      </w:r>
      <w:r>
        <w:rPr>
          <w:i/>
        </w:rPr>
        <w:t xml:space="preserve">ACICA Rules </w:t>
      </w:r>
      <w:r>
        <w:t xml:space="preserve">2016 </w:t>
      </w:r>
      <w:proofErr w:type="spellStart"/>
      <w:r>
        <w:t>Sch</w:t>
      </w:r>
      <w:proofErr w:type="spellEnd"/>
      <w:r>
        <w:t xml:space="preserve">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6BC8" w14:textId="77777777" w:rsidR="00F43F16" w:rsidRDefault="00F43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3AD6B" w14:textId="77777777" w:rsidR="00F43F16" w:rsidRDefault="00F43F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A4562" w14:textId="77777777" w:rsidR="00F43F16" w:rsidRDefault="00F43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7A1860"/>
    <w:lvl w:ilvl="0">
      <w:start w:val="1"/>
      <w:numFmt w:val="decimal"/>
      <w:lvlText w:val="%1."/>
      <w:lvlJc w:val="left"/>
      <w:pPr>
        <w:tabs>
          <w:tab w:val="num" w:pos="1492"/>
        </w:tabs>
        <w:ind w:left="1492" w:hanging="360"/>
      </w:pPr>
    </w:lvl>
  </w:abstractNum>
  <w:abstractNum w:abstractNumId="1">
    <w:nsid w:val="FFFFFF7D"/>
    <w:multiLevelType w:val="singleLevel"/>
    <w:tmpl w:val="2AD0BACC"/>
    <w:lvl w:ilvl="0">
      <w:start w:val="1"/>
      <w:numFmt w:val="decimal"/>
      <w:lvlText w:val="%1."/>
      <w:lvlJc w:val="left"/>
      <w:pPr>
        <w:tabs>
          <w:tab w:val="num" w:pos="1209"/>
        </w:tabs>
        <w:ind w:left="1209" w:hanging="360"/>
      </w:pPr>
    </w:lvl>
  </w:abstractNum>
  <w:abstractNum w:abstractNumId="2">
    <w:nsid w:val="FFFFFF7E"/>
    <w:multiLevelType w:val="singleLevel"/>
    <w:tmpl w:val="33BC0CF4"/>
    <w:lvl w:ilvl="0">
      <w:start w:val="1"/>
      <w:numFmt w:val="decimal"/>
      <w:lvlText w:val="%1."/>
      <w:lvlJc w:val="left"/>
      <w:pPr>
        <w:tabs>
          <w:tab w:val="num" w:pos="926"/>
        </w:tabs>
        <w:ind w:left="926" w:hanging="360"/>
      </w:pPr>
    </w:lvl>
  </w:abstractNum>
  <w:abstractNum w:abstractNumId="3">
    <w:nsid w:val="FFFFFF7F"/>
    <w:multiLevelType w:val="singleLevel"/>
    <w:tmpl w:val="0D886800"/>
    <w:lvl w:ilvl="0">
      <w:start w:val="1"/>
      <w:numFmt w:val="decimal"/>
      <w:lvlText w:val="%1."/>
      <w:lvlJc w:val="left"/>
      <w:pPr>
        <w:tabs>
          <w:tab w:val="num" w:pos="643"/>
        </w:tabs>
        <w:ind w:left="643" w:hanging="360"/>
      </w:pPr>
    </w:lvl>
  </w:abstractNum>
  <w:abstractNum w:abstractNumId="4">
    <w:nsid w:val="FFFFFF88"/>
    <w:multiLevelType w:val="singleLevel"/>
    <w:tmpl w:val="DFA66368"/>
    <w:lvl w:ilvl="0">
      <w:start w:val="1"/>
      <w:numFmt w:val="decimal"/>
      <w:lvlText w:val="%1."/>
      <w:lvlJc w:val="left"/>
      <w:pPr>
        <w:tabs>
          <w:tab w:val="num" w:pos="360"/>
        </w:tabs>
        <w:ind w:left="360" w:hanging="360"/>
      </w:pPr>
    </w:lvl>
  </w:abstractNum>
  <w:abstractNum w:abstractNumId="5">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8">
    <w:nsid w:val="35CE6F54"/>
    <w:multiLevelType w:val="hybridMultilevel"/>
    <w:tmpl w:val="66FEB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0">
    <w:nsid w:val="3B9F0EE5"/>
    <w:multiLevelType w:val="multilevel"/>
    <w:tmpl w:val="959E5978"/>
    <w:numStyleLink w:val="CUDefinitions"/>
  </w:abstractNum>
  <w:abstractNum w:abstractNumId="11">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nsid w:val="3E364E24"/>
    <w:multiLevelType w:val="hybridMultilevel"/>
    <w:tmpl w:val="EEF4C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5">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8">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nsid w:val="5BD70AA5"/>
    <w:multiLevelType w:val="hybridMultilevel"/>
    <w:tmpl w:val="5D2A7C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FE46CA2"/>
    <w:multiLevelType w:val="hybridMultilevel"/>
    <w:tmpl w:val="914EE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2">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3">
    <w:nsid w:val="688D26AD"/>
    <w:multiLevelType w:val="multilevel"/>
    <w:tmpl w:val="35B24AE4"/>
    <w:numStyleLink w:val="CUNumber"/>
  </w:abstractNum>
  <w:abstractNum w:abstractNumId="24">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8"/>
  </w:num>
  <w:num w:numId="2">
    <w:abstractNumId w:val="25"/>
  </w:num>
  <w:num w:numId="3">
    <w:abstractNumId w:val="21"/>
  </w:num>
  <w:num w:numId="4">
    <w:abstractNumId w:val="17"/>
  </w:num>
  <w:num w:numId="5">
    <w:abstractNumId w:val="5"/>
  </w:num>
  <w:num w:numId="6">
    <w:abstractNumId w:val="11"/>
  </w:num>
  <w:num w:numId="7">
    <w:abstractNumId w:val="16"/>
  </w:num>
  <w:num w:numId="8">
    <w:abstractNumId w:val="13"/>
  </w:num>
  <w:num w:numId="9">
    <w:abstractNumId w:val="23"/>
  </w:num>
  <w:num w:numId="10">
    <w:abstractNumId w:val="15"/>
  </w:num>
  <w:num w:numId="11">
    <w:abstractNumId w:val="10"/>
  </w:num>
  <w:num w:numId="12">
    <w:abstractNumId w:val="14"/>
  </w:num>
  <w:num w:numId="13">
    <w:abstractNumId w:val="14"/>
  </w:num>
  <w:num w:numId="14">
    <w:abstractNumId w:val="7"/>
  </w:num>
  <w:num w:numId="15">
    <w:abstractNumId w:val="7"/>
  </w:num>
  <w:num w:numId="16">
    <w:abstractNumId w:val="9"/>
  </w:num>
  <w:num w:numId="17">
    <w:abstractNumId w:val="22"/>
  </w:num>
  <w:num w:numId="18">
    <w:abstractNumId w:val="4"/>
  </w:num>
  <w:num w:numId="19">
    <w:abstractNumId w:val="3"/>
  </w:num>
  <w:num w:numId="20">
    <w:abstractNumId w:val="2"/>
  </w:num>
  <w:num w:numId="21">
    <w:abstractNumId w:val="1"/>
  </w:num>
  <w:num w:numId="22">
    <w:abstractNumId w:val="0"/>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2"/>
  </w:num>
  <w:num w:numId="29">
    <w:abstractNumId w:val="8"/>
  </w:num>
  <w:num w:numId="30">
    <w:abstractNumId w:val="19"/>
  </w:num>
  <w:numIdMacAtCleanup w:val="1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t Walker">
    <w15:presenceInfo w15:providerId="Windows Live" w15:userId="c56173f63bc25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FooterText" w:val="L\324275432.1"/>
  </w:docVars>
  <w:rsids>
    <w:rsidRoot w:val="00F43F16"/>
    <w:rsid w:val="00002C94"/>
    <w:rsid w:val="00002F8A"/>
    <w:rsid w:val="00004A48"/>
    <w:rsid w:val="00010D0D"/>
    <w:rsid w:val="00016AB5"/>
    <w:rsid w:val="00017FB5"/>
    <w:rsid w:val="00023786"/>
    <w:rsid w:val="000257D0"/>
    <w:rsid w:val="000366B6"/>
    <w:rsid w:val="000664E4"/>
    <w:rsid w:val="00067BB2"/>
    <w:rsid w:val="00076419"/>
    <w:rsid w:val="000767D2"/>
    <w:rsid w:val="000820B8"/>
    <w:rsid w:val="00082EAB"/>
    <w:rsid w:val="000959E0"/>
    <w:rsid w:val="000B51AD"/>
    <w:rsid w:val="000B7C19"/>
    <w:rsid w:val="000C0028"/>
    <w:rsid w:val="000C3019"/>
    <w:rsid w:val="000C4760"/>
    <w:rsid w:val="000C6326"/>
    <w:rsid w:val="000E186B"/>
    <w:rsid w:val="000F0DA5"/>
    <w:rsid w:val="001026B8"/>
    <w:rsid w:val="00105794"/>
    <w:rsid w:val="00113B52"/>
    <w:rsid w:val="00115405"/>
    <w:rsid w:val="00124C5D"/>
    <w:rsid w:val="00125B37"/>
    <w:rsid w:val="00140B64"/>
    <w:rsid w:val="00140FD5"/>
    <w:rsid w:val="00146801"/>
    <w:rsid w:val="00154089"/>
    <w:rsid w:val="00154C16"/>
    <w:rsid w:val="00156C81"/>
    <w:rsid w:val="00157839"/>
    <w:rsid w:val="00160690"/>
    <w:rsid w:val="0016651E"/>
    <w:rsid w:val="0017064E"/>
    <w:rsid w:val="00170EDE"/>
    <w:rsid w:val="001721A7"/>
    <w:rsid w:val="001743F4"/>
    <w:rsid w:val="001C08DB"/>
    <w:rsid w:val="001C5620"/>
    <w:rsid w:val="001D11BE"/>
    <w:rsid w:val="001D1BCD"/>
    <w:rsid w:val="001E0DEF"/>
    <w:rsid w:val="001F5959"/>
    <w:rsid w:val="001F7C85"/>
    <w:rsid w:val="00202307"/>
    <w:rsid w:val="00203F06"/>
    <w:rsid w:val="0021101E"/>
    <w:rsid w:val="002168B6"/>
    <w:rsid w:val="00216C00"/>
    <w:rsid w:val="002178DD"/>
    <w:rsid w:val="00217E57"/>
    <w:rsid w:val="002270B1"/>
    <w:rsid w:val="00230287"/>
    <w:rsid w:val="00236F4C"/>
    <w:rsid w:val="00243084"/>
    <w:rsid w:val="002432BB"/>
    <w:rsid w:val="00252946"/>
    <w:rsid w:val="00253A17"/>
    <w:rsid w:val="00264EE3"/>
    <w:rsid w:val="00267E66"/>
    <w:rsid w:val="00274E60"/>
    <w:rsid w:val="00275B8B"/>
    <w:rsid w:val="00280D9E"/>
    <w:rsid w:val="002926AD"/>
    <w:rsid w:val="002954A4"/>
    <w:rsid w:val="002972CF"/>
    <w:rsid w:val="002A5D61"/>
    <w:rsid w:val="002B2167"/>
    <w:rsid w:val="002B236E"/>
    <w:rsid w:val="002C2B6F"/>
    <w:rsid w:val="002C3B1F"/>
    <w:rsid w:val="002C750B"/>
    <w:rsid w:val="002D1701"/>
    <w:rsid w:val="002D56CA"/>
    <w:rsid w:val="002D6DEA"/>
    <w:rsid w:val="002E4C47"/>
    <w:rsid w:val="002E59B4"/>
    <w:rsid w:val="002F0BFE"/>
    <w:rsid w:val="002F1B8E"/>
    <w:rsid w:val="002F48D5"/>
    <w:rsid w:val="00317D39"/>
    <w:rsid w:val="003440F1"/>
    <w:rsid w:val="00350763"/>
    <w:rsid w:val="0035284D"/>
    <w:rsid w:val="003538AC"/>
    <w:rsid w:val="003722C5"/>
    <w:rsid w:val="00377C3F"/>
    <w:rsid w:val="003A13D6"/>
    <w:rsid w:val="003A570C"/>
    <w:rsid w:val="003A661F"/>
    <w:rsid w:val="003B0D26"/>
    <w:rsid w:val="003C31B0"/>
    <w:rsid w:val="003C41D0"/>
    <w:rsid w:val="003D0340"/>
    <w:rsid w:val="003D45E9"/>
    <w:rsid w:val="003D476D"/>
    <w:rsid w:val="003D7FE0"/>
    <w:rsid w:val="003E370E"/>
    <w:rsid w:val="003F3AD2"/>
    <w:rsid w:val="003F6C1E"/>
    <w:rsid w:val="0040639A"/>
    <w:rsid w:val="00420D0F"/>
    <w:rsid w:val="004249E2"/>
    <w:rsid w:val="00436E04"/>
    <w:rsid w:val="004438B5"/>
    <w:rsid w:val="00444CB8"/>
    <w:rsid w:val="00446F3C"/>
    <w:rsid w:val="00450070"/>
    <w:rsid w:val="00455839"/>
    <w:rsid w:val="004716A2"/>
    <w:rsid w:val="0048035C"/>
    <w:rsid w:val="00480F4F"/>
    <w:rsid w:val="00481884"/>
    <w:rsid w:val="00482825"/>
    <w:rsid w:val="00492E83"/>
    <w:rsid w:val="00496227"/>
    <w:rsid w:val="004A06CB"/>
    <w:rsid w:val="004B088E"/>
    <w:rsid w:val="004C1BFF"/>
    <w:rsid w:val="004E0636"/>
    <w:rsid w:val="004E307A"/>
    <w:rsid w:val="004E7E82"/>
    <w:rsid w:val="00504280"/>
    <w:rsid w:val="00511F20"/>
    <w:rsid w:val="0051455A"/>
    <w:rsid w:val="00524805"/>
    <w:rsid w:val="005279A4"/>
    <w:rsid w:val="00532DC8"/>
    <w:rsid w:val="005334E3"/>
    <w:rsid w:val="0053487A"/>
    <w:rsid w:val="00541002"/>
    <w:rsid w:val="00541FF1"/>
    <w:rsid w:val="005523B5"/>
    <w:rsid w:val="0055449E"/>
    <w:rsid w:val="00554BFA"/>
    <w:rsid w:val="005660A5"/>
    <w:rsid w:val="00566607"/>
    <w:rsid w:val="00573A85"/>
    <w:rsid w:val="00576416"/>
    <w:rsid w:val="0057668F"/>
    <w:rsid w:val="005829D1"/>
    <w:rsid w:val="00583AE0"/>
    <w:rsid w:val="00583D22"/>
    <w:rsid w:val="005A1BF7"/>
    <w:rsid w:val="005A55EE"/>
    <w:rsid w:val="005B0A85"/>
    <w:rsid w:val="005B34B8"/>
    <w:rsid w:val="005B425F"/>
    <w:rsid w:val="005C303C"/>
    <w:rsid w:val="005D1575"/>
    <w:rsid w:val="005D29D0"/>
    <w:rsid w:val="005D3369"/>
    <w:rsid w:val="005D3849"/>
    <w:rsid w:val="005E3DE4"/>
    <w:rsid w:val="005E4A26"/>
    <w:rsid w:val="00600F8D"/>
    <w:rsid w:val="00634C24"/>
    <w:rsid w:val="00645C6B"/>
    <w:rsid w:val="00647F56"/>
    <w:rsid w:val="006542A8"/>
    <w:rsid w:val="00655451"/>
    <w:rsid w:val="0066223A"/>
    <w:rsid w:val="00665C82"/>
    <w:rsid w:val="0068286E"/>
    <w:rsid w:val="0069441F"/>
    <w:rsid w:val="00696B5D"/>
    <w:rsid w:val="006A2732"/>
    <w:rsid w:val="006A5E6E"/>
    <w:rsid w:val="006B0E85"/>
    <w:rsid w:val="006B36A8"/>
    <w:rsid w:val="006B53D3"/>
    <w:rsid w:val="006C6A1C"/>
    <w:rsid w:val="006E020E"/>
    <w:rsid w:val="006F18A3"/>
    <w:rsid w:val="0070060F"/>
    <w:rsid w:val="0070595A"/>
    <w:rsid w:val="007146B9"/>
    <w:rsid w:val="00714C18"/>
    <w:rsid w:val="00726841"/>
    <w:rsid w:val="00726CF6"/>
    <w:rsid w:val="0073457B"/>
    <w:rsid w:val="007403D8"/>
    <w:rsid w:val="00745BD8"/>
    <w:rsid w:val="00762241"/>
    <w:rsid w:val="0077051A"/>
    <w:rsid w:val="00772C5B"/>
    <w:rsid w:val="007757F4"/>
    <w:rsid w:val="00796FA2"/>
    <w:rsid w:val="007A1BE2"/>
    <w:rsid w:val="007A2534"/>
    <w:rsid w:val="007A330E"/>
    <w:rsid w:val="007A4900"/>
    <w:rsid w:val="007B6058"/>
    <w:rsid w:val="007B75B6"/>
    <w:rsid w:val="007C04B0"/>
    <w:rsid w:val="007C3491"/>
    <w:rsid w:val="007C57A9"/>
    <w:rsid w:val="007E2677"/>
    <w:rsid w:val="007F0EA8"/>
    <w:rsid w:val="007F7E57"/>
    <w:rsid w:val="00813E22"/>
    <w:rsid w:val="00820D2D"/>
    <w:rsid w:val="008314A2"/>
    <w:rsid w:val="0083331A"/>
    <w:rsid w:val="00834B3B"/>
    <w:rsid w:val="00841942"/>
    <w:rsid w:val="00843E09"/>
    <w:rsid w:val="00846A1A"/>
    <w:rsid w:val="008474B6"/>
    <w:rsid w:val="00853733"/>
    <w:rsid w:val="008550F7"/>
    <w:rsid w:val="008725A9"/>
    <w:rsid w:val="0087368A"/>
    <w:rsid w:val="00887EA1"/>
    <w:rsid w:val="008A71EE"/>
    <w:rsid w:val="008B6FC9"/>
    <w:rsid w:val="008C01A3"/>
    <w:rsid w:val="008D1DA4"/>
    <w:rsid w:val="008D4CE6"/>
    <w:rsid w:val="008D5FBE"/>
    <w:rsid w:val="008D63BF"/>
    <w:rsid w:val="008F3D1A"/>
    <w:rsid w:val="00903E51"/>
    <w:rsid w:val="00905ABF"/>
    <w:rsid w:val="0091672D"/>
    <w:rsid w:val="009221C1"/>
    <w:rsid w:val="009320BA"/>
    <w:rsid w:val="0094003C"/>
    <w:rsid w:val="00940E8A"/>
    <w:rsid w:val="00944FA7"/>
    <w:rsid w:val="00955505"/>
    <w:rsid w:val="009619D7"/>
    <w:rsid w:val="009636F9"/>
    <w:rsid w:val="00982ECE"/>
    <w:rsid w:val="0098560E"/>
    <w:rsid w:val="00997369"/>
    <w:rsid w:val="00997959"/>
    <w:rsid w:val="009B7362"/>
    <w:rsid w:val="009C00AB"/>
    <w:rsid w:val="009C37F3"/>
    <w:rsid w:val="009C5359"/>
    <w:rsid w:val="009D0297"/>
    <w:rsid w:val="009E2620"/>
    <w:rsid w:val="009E35DD"/>
    <w:rsid w:val="009F4E8F"/>
    <w:rsid w:val="00A000E9"/>
    <w:rsid w:val="00A04CA9"/>
    <w:rsid w:val="00A06224"/>
    <w:rsid w:val="00A12251"/>
    <w:rsid w:val="00A151AD"/>
    <w:rsid w:val="00A15B62"/>
    <w:rsid w:val="00A2412F"/>
    <w:rsid w:val="00A47571"/>
    <w:rsid w:val="00A714E0"/>
    <w:rsid w:val="00A7530D"/>
    <w:rsid w:val="00A968A2"/>
    <w:rsid w:val="00A9766E"/>
    <w:rsid w:val="00AA273D"/>
    <w:rsid w:val="00AA2A7F"/>
    <w:rsid w:val="00AB165C"/>
    <w:rsid w:val="00AC234B"/>
    <w:rsid w:val="00AD0044"/>
    <w:rsid w:val="00AD0201"/>
    <w:rsid w:val="00AE1CA0"/>
    <w:rsid w:val="00B06D52"/>
    <w:rsid w:val="00B13297"/>
    <w:rsid w:val="00B2072B"/>
    <w:rsid w:val="00B2749E"/>
    <w:rsid w:val="00B32131"/>
    <w:rsid w:val="00B4049F"/>
    <w:rsid w:val="00B40527"/>
    <w:rsid w:val="00B511AF"/>
    <w:rsid w:val="00B52257"/>
    <w:rsid w:val="00B5249F"/>
    <w:rsid w:val="00B54855"/>
    <w:rsid w:val="00B61BEA"/>
    <w:rsid w:val="00B77BC5"/>
    <w:rsid w:val="00B82A5A"/>
    <w:rsid w:val="00BB145E"/>
    <w:rsid w:val="00BB70DF"/>
    <w:rsid w:val="00BB76D8"/>
    <w:rsid w:val="00BC23F0"/>
    <w:rsid w:val="00BC4340"/>
    <w:rsid w:val="00BC70DC"/>
    <w:rsid w:val="00BD1932"/>
    <w:rsid w:val="00C144C5"/>
    <w:rsid w:val="00C1607C"/>
    <w:rsid w:val="00C24199"/>
    <w:rsid w:val="00C24A65"/>
    <w:rsid w:val="00C272F6"/>
    <w:rsid w:val="00C27E4E"/>
    <w:rsid w:val="00C3273B"/>
    <w:rsid w:val="00C41484"/>
    <w:rsid w:val="00C417AE"/>
    <w:rsid w:val="00C423FB"/>
    <w:rsid w:val="00C445D6"/>
    <w:rsid w:val="00C552D4"/>
    <w:rsid w:val="00C60655"/>
    <w:rsid w:val="00C65664"/>
    <w:rsid w:val="00C741CD"/>
    <w:rsid w:val="00C76C2F"/>
    <w:rsid w:val="00C818E9"/>
    <w:rsid w:val="00C85A84"/>
    <w:rsid w:val="00C86196"/>
    <w:rsid w:val="00CA06B9"/>
    <w:rsid w:val="00CB1A2F"/>
    <w:rsid w:val="00CD314C"/>
    <w:rsid w:val="00CE49A7"/>
    <w:rsid w:val="00CF4474"/>
    <w:rsid w:val="00CF662E"/>
    <w:rsid w:val="00D00C04"/>
    <w:rsid w:val="00D1185F"/>
    <w:rsid w:val="00D25C14"/>
    <w:rsid w:val="00D33293"/>
    <w:rsid w:val="00D40335"/>
    <w:rsid w:val="00D40EE0"/>
    <w:rsid w:val="00D4444A"/>
    <w:rsid w:val="00D46002"/>
    <w:rsid w:val="00D4622A"/>
    <w:rsid w:val="00D509F7"/>
    <w:rsid w:val="00D52851"/>
    <w:rsid w:val="00D813F7"/>
    <w:rsid w:val="00D830A3"/>
    <w:rsid w:val="00D90EB4"/>
    <w:rsid w:val="00D939C1"/>
    <w:rsid w:val="00DA4DE7"/>
    <w:rsid w:val="00DE6685"/>
    <w:rsid w:val="00DF39AE"/>
    <w:rsid w:val="00DF5034"/>
    <w:rsid w:val="00DF6906"/>
    <w:rsid w:val="00E03221"/>
    <w:rsid w:val="00E1036A"/>
    <w:rsid w:val="00E3422C"/>
    <w:rsid w:val="00E3596F"/>
    <w:rsid w:val="00E45C1A"/>
    <w:rsid w:val="00E5215F"/>
    <w:rsid w:val="00E54C90"/>
    <w:rsid w:val="00E62174"/>
    <w:rsid w:val="00E73848"/>
    <w:rsid w:val="00E8459A"/>
    <w:rsid w:val="00E921A6"/>
    <w:rsid w:val="00EA0293"/>
    <w:rsid w:val="00EA2E09"/>
    <w:rsid w:val="00EA6D36"/>
    <w:rsid w:val="00EA7613"/>
    <w:rsid w:val="00EB4BFF"/>
    <w:rsid w:val="00ED6C28"/>
    <w:rsid w:val="00F07D7A"/>
    <w:rsid w:val="00F102BF"/>
    <w:rsid w:val="00F128CE"/>
    <w:rsid w:val="00F2143F"/>
    <w:rsid w:val="00F221D6"/>
    <w:rsid w:val="00F2484D"/>
    <w:rsid w:val="00F264E1"/>
    <w:rsid w:val="00F27DE7"/>
    <w:rsid w:val="00F32210"/>
    <w:rsid w:val="00F3296F"/>
    <w:rsid w:val="00F42800"/>
    <w:rsid w:val="00F43553"/>
    <w:rsid w:val="00F43F16"/>
    <w:rsid w:val="00F445EE"/>
    <w:rsid w:val="00F50DA5"/>
    <w:rsid w:val="00F57922"/>
    <w:rsid w:val="00F73C94"/>
    <w:rsid w:val="00F80311"/>
    <w:rsid w:val="00F83C0B"/>
    <w:rsid w:val="00F93674"/>
    <w:rsid w:val="00F94003"/>
    <w:rsid w:val="00F95079"/>
    <w:rsid w:val="00FB17D1"/>
    <w:rsid w:val="00FC5FE2"/>
    <w:rsid w:val="00FD353B"/>
    <w:rsid w:val="00FD4F69"/>
    <w:rsid w:val="00FD6624"/>
    <w:rsid w:val="00FE20B1"/>
    <w:rsid w:val="00FF2395"/>
    <w:rsid w:val="00FF2CE2"/>
    <w:rsid w:val="00FF5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6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74E60"/>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lang w:eastAsia="en-AU"/>
    </w:rPr>
  </w:style>
  <w:style w:type="paragraph" w:styleId="Heading4">
    <w:name w:val="heading 4"/>
    <w:basedOn w:val="Normal"/>
    <w:qFormat/>
    <w:rsid w:val="003D0340"/>
    <w:pPr>
      <w:numPr>
        <w:ilvl w:val="3"/>
        <w:numId w:val="13"/>
      </w:numPr>
      <w:outlineLvl w:val="3"/>
    </w:pPr>
    <w:rPr>
      <w:bCs/>
      <w:szCs w:val="28"/>
      <w:lang w:eastAsia="en-AU"/>
    </w:rPr>
  </w:style>
  <w:style w:type="paragraph" w:styleId="Heading5">
    <w:name w:val="heading 5"/>
    <w:basedOn w:val="Normal"/>
    <w:qFormat/>
    <w:rsid w:val="003D0340"/>
    <w:pPr>
      <w:numPr>
        <w:ilvl w:val="4"/>
        <w:numId w:val="13"/>
      </w:numPr>
      <w:outlineLvl w:val="4"/>
    </w:pPr>
    <w:rPr>
      <w:bCs/>
      <w:iCs/>
      <w:szCs w:val="26"/>
      <w:lang w:eastAsia="en-AU"/>
    </w:rPr>
  </w:style>
  <w:style w:type="paragraph" w:styleId="Heading6">
    <w:name w:val="heading 6"/>
    <w:basedOn w:val="Normal"/>
    <w:qFormat/>
    <w:rsid w:val="003D0340"/>
    <w:pPr>
      <w:numPr>
        <w:ilvl w:val="5"/>
        <w:numId w:val="13"/>
      </w:numPr>
      <w:outlineLvl w:val="5"/>
    </w:pPr>
    <w:rPr>
      <w:bCs/>
      <w:szCs w:val="22"/>
      <w:lang w:eastAsia="en-AU"/>
    </w:rPr>
  </w:style>
  <w:style w:type="paragraph" w:styleId="Heading7">
    <w:name w:val="heading 7"/>
    <w:basedOn w:val="Normal"/>
    <w:qFormat/>
    <w:rsid w:val="003D0340"/>
    <w:pPr>
      <w:numPr>
        <w:ilvl w:val="6"/>
        <w:numId w:val="13"/>
      </w:numPr>
      <w:outlineLvl w:val="6"/>
    </w:pPr>
    <w:rPr>
      <w:lang w:eastAsia="en-AU"/>
    </w:rPr>
  </w:style>
  <w:style w:type="paragraph" w:styleId="Heading8">
    <w:name w:val="heading 8"/>
    <w:basedOn w:val="Normal"/>
    <w:qFormat/>
    <w:rsid w:val="003D0340"/>
    <w:pPr>
      <w:numPr>
        <w:ilvl w:val="7"/>
        <w:numId w:val="13"/>
      </w:numPr>
      <w:outlineLvl w:val="7"/>
    </w:pPr>
    <w:rPr>
      <w:iCs/>
      <w:lang w:eastAsia="en-AU"/>
    </w:rPr>
  </w:style>
  <w:style w:type="paragraph" w:styleId="Heading9">
    <w:name w:val="heading 9"/>
    <w:basedOn w:val="Normal"/>
    <w:next w:val="Normal"/>
    <w:qFormat/>
    <w:rsid w:val="003D0340"/>
    <w:pPr>
      <w:keepNext/>
      <w:numPr>
        <w:ilvl w:val="8"/>
        <w:numId w:val="13"/>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6"/>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szCs w:val="22"/>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6"/>
      </w:numPr>
    </w:pPr>
  </w:style>
  <w:style w:type="paragraph" w:customStyle="1" w:styleId="IndentParaLevel3">
    <w:name w:val="IndentParaLevel3"/>
    <w:basedOn w:val="Normal"/>
    <w:rsid w:val="002432BB"/>
    <w:pPr>
      <w:numPr>
        <w:ilvl w:val="2"/>
        <w:numId w:val="6"/>
      </w:numPr>
    </w:pPr>
  </w:style>
  <w:style w:type="paragraph" w:customStyle="1" w:styleId="IndentParaLevel4">
    <w:name w:val="IndentParaLevel4"/>
    <w:basedOn w:val="Normal"/>
    <w:rsid w:val="002432BB"/>
    <w:pPr>
      <w:numPr>
        <w:ilvl w:val="3"/>
        <w:numId w:val="6"/>
      </w:numPr>
    </w:pPr>
  </w:style>
  <w:style w:type="paragraph" w:customStyle="1" w:styleId="IndentParaLevel5">
    <w:name w:val="IndentParaLevel5"/>
    <w:basedOn w:val="Normal"/>
    <w:rsid w:val="002432BB"/>
    <w:pPr>
      <w:numPr>
        <w:ilvl w:val="4"/>
        <w:numId w:val="6"/>
      </w:numPr>
    </w:pPr>
  </w:style>
  <w:style w:type="paragraph" w:customStyle="1" w:styleId="IndentParaLevel6">
    <w:name w:val="IndentParaLevel6"/>
    <w:basedOn w:val="Normal"/>
    <w:rsid w:val="002432BB"/>
    <w:pPr>
      <w:numPr>
        <w:ilvl w:val="5"/>
        <w:numId w:val="6"/>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sz w:val="24"/>
      <w:lang w:eastAsia="en-AU"/>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5"/>
      </w:numPr>
      <w:outlineLvl w:val="1"/>
    </w:pPr>
    <w:rPr>
      <w:b/>
      <w:sz w:val="24"/>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2432BB"/>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3D0340"/>
    <w:pPr>
      <w:numPr>
        <w:numId w:val="8"/>
      </w:numPr>
    </w:pPr>
  </w:style>
  <w:style w:type="paragraph" w:customStyle="1" w:styleId="CUTable1">
    <w:name w:val="CU_Table1"/>
    <w:basedOn w:val="Normal"/>
    <w:rsid w:val="003D0340"/>
    <w:pPr>
      <w:numPr>
        <w:numId w:val="8"/>
      </w:numPr>
      <w:outlineLvl w:val="0"/>
    </w:pPr>
  </w:style>
  <w:style w:type="paragraph" w:customStyle="1" w:styleId="CUTable2">
    <w:name w:val="CU_Table2"/>
    <w:basedOn w:val="Normal"/>
    <w:rsid w:val="003D0340"/>
    <w:pPr>
      <w:numPr>
        <w:ilvl w:val="1"/>
        <w:numId w:val="8"/>
      </w:numPr>
      <w:outlineLvl w:val="2"/>
    </w:pPr>
  </w:style>
  <w:style w:type="paragraph" w:customStyle="1" w:styleId="CUTable3">
    <w:name w:val="CU_Table3"/>
    <w:basedOn w:val="Normal"/>
    <w:rsid w:val="003D0340"/>
    <w:pPr>
      <w:numPr>
        <w:ilvl w:val="2"/>
        <w:numId w:val="8"/>
      </w:numPr>
      <w:outlineLvl w:val="3"/>
    </w:pPr>
  </w:style>
  <w:style w:type="paragraph" w:customStyle="1" w:styleId="CUTable4">
    <w:name w:val="CU_Table4"/>
    <w:basedOn w:val="Normal"/>
    <w:rsid w:val="003D0340"/>
    <w:pPr>
      <w:numPr>
        <w:ilvl w:val="3"/>
        <w:numId w:val="8"/>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8"/>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23"/>
      </w:numPr>
    </w:pPr>
  </w:style>
  <w:style w:type="paragraph" w:customStyle="1" w:styleId="CUTableBullet2">
    <w:name w:val="CU_Table Bullet2"/>
    <w:basedOn w:val="Normal"/>
    <w:qFormat/>
    <w:rsid w:val="0048035C"/>
    <w:pPr>
      <w:numPr>
        <w:ilvl w:val="1"/>
        <w:numId w:val="23"/>
      </w:numPr>
    </w:pPr>
  </w:style>
  <w:style w:type="paragraph" w:customStyle="1" w:styleId="CUTableBullet3">
    <w:name w:val="CU_Table Bullet3"/>
    <w:basedOn w:val="Normal"/>
    <w:qFormat/>
    <w:rsid w:val="0048035C"/>
    <w:pPr>
      <w:numPr>
        <w:ilvl w:val="2"/>
        <w:numId w:val="23"/>
      </w:numPr>
    </w:pPr>
  </w:style>
  <w:style w:type="paragraph" w:customStyle="1" w:styleId="CUTableIndent1">
    <w:name w:val="CU_Table Indent1"/>
    <w:basedOn w:val="Normal"/>
    <w:qFormat/>
    <w:rsid w:val="004E0636"/>
    <w:pPr>
      <w:numPr>
        <w:numId w:val="25"/>
      </w:numPr>
    </w:pPr>
  </w:style>
  <w:style w:type="paragraph" w:customStyle="1" w:styleId="CUTableIndent2">
    <w:name w:val="CU_Table Indent2"/>
    <w:basedOn w:val="Normal"/>
    <w:qFormat/>
    <w:rsid w:val="004E0636"/>
    <w:pPr>
      <w:numPr>
        <w:ilvl w:val="1"/>
        <w:numId w:val="25"/>
      </w:numPr>
    </w:pPr>
  </w:style>
  <w:style w:type="paragraph" w:customStyle="1" w:styleId="CUTableIndent3">
    <w:name w:val="CU_Table Indent3"/>
    <w:basedOn w:val="Normal"/>
    <w:qFormat/>
    <w:rsid w:val="004E0636"/>
    <w:pPr>
      <w:numPr>
        <w:ilvl w:val="2"/>
        <w:numId w:val="25"/>
      </w:numPr>
    </w:pPr>
  </w:style>
  <w:style w:type="numbering" w:customStyle="1" w:styleId="CUTableBullet">
    <w:name w:val="CUTable Bullet"/>
    <w:uiPriority w:val="99"/>
    <w:rsid w:val="0048035C"/>
    <w:pPr>
      <w:numPr>
        <w:numId w:val="23"/>
      </w:numPr>
    </w:pPr>
  </w:style>
  <w:style w:type="numbering" w:customStyle="1" w:styleId="CUTableIndent">
    <w:name w:val="CUTableIndent"/>
    <w:uiPriority w:val="99"/>
    <w:rsid w:val="004E0636"/>
    <w:pPr>
      <w:numPr>
        <w:numId w:val="25"/>
      </w:numPr>
    </w:pPr>
  </w:style>
  <w:style w:type="character" w:styleId="FollowedHyperlink">
    <w:name w:val="FollowedHyperlink"/>
    <w:basedOn w:val="DefaultParagraphFont"/>
    <w:uiPriority w:val="99"/>
    <w:semiHidden/>
    <w:unhideWhenUsed/>
    <w:rsid w:val="00FB17D1"/>
    <w:rPr>
      <w:color w:val="3C1A56" w:themeColor="followedHyperlink"/>
      <w:u w:val="single"/>
    </w:rPr>
  </w:style>
  <w:style w:type="character" w:styleId="CommentReference">
    <w:name w:val="annotation reference"/>
    <w:basedOn w:val="DefaultParagraphFont"/>
    <w:uiPriority w:val="99"/>
    <w:semiHidden/>
    <w:unhideWhenUsed/>
    <w:rsid w:val="00647F56"/>
    <w:rPr>
      <w:sz w:val="16"/>
      <w:szCs w:val="16"/>
    </w:rPr>
  </w:style>
  <w:style w:type="paragraph" w:styleId="CommentText">
    <w:name w:val="annotation text"/>
    <w:basedOn w:val="Normal"/>
    <w:link w:val="CommentTextChar"/>
    <w:uiPriority w:val="99"/>
    <w:semiHidden/>
    <w:unhideWhenUsed/>
    <w:rsid w:val="00647F56"/>
  </w:style>
  <w:style w:type="character" w:customStyle="1" w:styleId="CommentTextChar">
    <w:name w:val="Comment Text Char"/>
    <w:basedOn w:val="DefaultParagraphFont"/>
    <w:link w:val="CommentText"/>
    <w:uiPriority w:val="99"/>
    <w:semiHidden/>
    <w:rsid w:val="00647F56"/>
  </w:style>
  <w:style w:type="paragraph" w:styleId="CommentSubject">
    <w:name w:val="annotation subject"/>
    <w:basedOn w:val="CommentText"/>
    <w:next w:val="CommentText"/>
    <w:link w:val="CommentSubjectChar"/>
    <w:uiPriority w:val="99"/>
    <w:semiHidden/>
    <w:unhideWhenUsed/>
    <w:rsid w:val="00647F56"/>
    <w:rPr>
      <w:b/>
      <w:bCs/>
    </w:rPr>
  </w:style>
  <w:style w:type="character" w:customStyle="1" w:styleId="CommentSubjectChar">
    <w:name w:val="Comment Subject Char"/>
    <w:basedOn w:val="CommentTextChar"/>
    <w:link w:val="CommentSubject"/>
    <w:uiPriority w:val="99"/>
    <w:semiHidden/>
    <w:rsid w:val="00647F56"/>
    <w:rPr>
      <w:b/>
      <w:bCs/>
    </w:rPr>
  </w:style>
  <w:style w:type="paragraph" w:styleId="ListParagraph">
    <w:name w:val="List Paragraph"/>
    <w:basedOn w:val="Normal"/>
    <w:uiPriority w:val="34"/>
    <w:rsid w:val="002D6DEA"/>
    <w:pPr>
      <w:ind w:left="720"/>
      <w:contextualSpacing/>
    </w:pPr>
  </w:style>
  <w:style w:type="character" w:styleId="Emphasis">
    <w:name w:val="Emphasis"/>
    <w:basedOn w:val="DefaultParagraphFont"/>
    <w:uiPriority w:val="20"/>
    <w:qFormat/>
    <w:rsid w:val="00A122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74E60"/>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lang w:eastAsia="en-AU"/>
    </w:rPr>
  </w:style>
  <w:style w:type="paragraph" w:styleId="Heading4">
    <w:name w:val="heading 4"/>
    <w:basedOn w:val="Normal"/>
    <w:qFormat/>
    <w:rsid w:val="003D0340"/>
    <w:pPr>
      <w:numPr>
        <w:ilvl w:val="3"/>
        <w:numId w:val="13"/>
      </w:numPr>
      <w:outlineLvl w:val="3"/>
    </w:pPr>
    <w:rPr>
      <w:bCs/>
      <w:szCs w:val="28"/>
      <w:lang w:eastAsia="en-AU"/>
    </w:rPr>
  </w:style>
  <w:style w:type="paragraph" w:styleId="Heading5">
    <w:name w:val="heading 5"/>
    <w:basedOn w:val="Normal"/>
    <w:qFormat/>
    <w:rsid w:val="003D0340"/>
    <w:pPr>
      <w:numPr>
        <w:ilvl w:val="4"/>
        <w:numId w:val="13"/>
      </w:numPr>
      <w:outlineLvl w:val="4"/>
    </w:pPr>
    <w:rPr>
      <w:bCs/>
      <w:iCs/>
      <w:szCs w:val="26"/>
      <w:lang w:eastAsia="en-AU"/>
    </w:rPr>
  </w:style>
  <w:style w:type="paragraph" w:styleId="Heading6">
    <w:name w:val="heading 6"/>
    <w:basedOn w:val="Normal"/>
    <w:qFormat/>
    <w:rsid w:val="003D0340"/>
    <w:pPr>
      <w:numPr>
        <w:ilvl w:val="5"/>
        <w:numId w:val="13"/>
      </w:numPr>
      <w:outlineLvl w:val="5"/>
    </w:pPr>
    <w:rPr>
      <w:bCs/>
      <w:szCs w:val="22"/>
      <w:lang w:eastAsia="en-AU"/>
    </w:rPr>
  </w:style>
  <w:style w:type="paragraph" w:styleId="Heading7">
    <w:name w:val="heading 7"/>
    <w:basedOn w:val="Normal"/>
    <w:qFormat/>
    <w:rsid w:val="003D0340"/>
    <w:pPr>
      <w:numPr>
        <w:ilvl w:val="6"/>
        <w:numId w:val="13"/>
      </w:numPr>
      <w:outlineLvl w:val="6"/>
    </w:pPr>
    <w:rPr>
      <w:lang w:eastAsia="en-AU"/>
    </w:rPr>
  </w:style>
  <w:style w:type="paragraph" w:styleId="Heading8">
    <w:name w:val="heading 8"/>
    <w:basedOn w:val="Normal"/>
    <w:qFormat/>
    <w:rsid w:val="003D0340"/>
    <w:pPr>
      <w:numPr>
        <w:ilvl w:val="7"/>
        <w:numId w:val="13"/>
      </w:numPr>
      <w:outlineLvl w:val="7"/>
    </w:pPr>
    <w:rPr>
      <w:iCs/>
      <w:lang w:eastAsia="en-AU"/>
    </w:rPr>
  </w:style>
  <w:style w:type="paragraph" w:styleId="Heading9">
    <w:name w:val="heading 9"/>
    <w:basedOn w:val="Normal"/>
    <w:next w:val="Normal"/>
    <w:qFormat/>
    <w:rsid w:val="003D0340"/>
    <w:pPr>
      <w:keepNext/>
      <w:numPr>
        <w:ilvl w:val="8"/>
        <w:numId w:val="13"/>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6"/>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szCs w:val="22"/>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6"/>
      </w:numPr>
    </w:pPr>
  </w:style>
  <w:style w:type="paragraph" w:customStyle="1" w:styleId="IndentParaLevel3">
    <w:name w:val="IndentParaLevel3"/>
    <w:basedOn w:val="Normal"/>
    <w:rsid w:val="002432BB"/>
    <w:pPr>
      <w:numPr>
        <w:ilvl w:val="2"/>
        <w:numId w:val="6"/>
      </w:numPr>
    </w:pPr>
  </w:style>
  <w:style w:type="paragraph" w:customStyle="1" w:styleId="IndentParaLevel4">
    <w:name w:val="IndentParaLevel4"/>
    <w:basedOn w:val="Normal"/>
    <w:rsid w:val="002432BB"/>
    <w:pPr>
      <w:numPr>
        <w:ilvl w:val="3"/>
        <w:numId w:val="6"/>
      </w:numPr>
    </w:pPr>
  </w:style>
  <w:style w:type="paragraph" w:customStyle="1" w:styleId="IndentParaLevel5">
    <w:name w:val="IndentParaLevel5"/>
    <w:basedOn w:val="Normal"/>
    <w:rsid w:val="002432BB"/>
    <w:pPr>
      <w:numPr>
        <w:ilvl w:val="4"/>
        <w:numId w:val="6"/>
      </w:numPr>
    </w:pPr>
  </w:style>
  <w:style w:type="paragraph" w:customStyle="1" w:styleId="IndentParaLevel6">
    <w:name w:val="IndentParaLevel6"/>
    <w:basedOn w:val="Normal"/>
    <w:rsid w:val="002432BB"/>
    <w:pPr>
      <w:numPr>
        <w:ilvl w:val="5"/>
        <w:numId w:val="6"/>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sz w:val="24"/>
      <w:lang w:eastAsia="en-AU"/>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5"/>
      </w:numPr>
      <w:outlineLvl w:val="1"/>
    </w:pPr>
    <w:rPr>
      <w:b/>
      <w:sz w:val="24"/>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2432BB"/>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3D0340"/>
    <w:pPr>
      <w:numPr>
        <w:numId w:val="8"/>
      </w:numPr>
    </w:pPr>
  </w:style>
  <w:style w:type="paragraph" w:customStyle="1" w:styleId="CUTable1">
    <w:name w:val="CU_Table1"/>
    <w:basedOn w:val="Normal"/>
    <w:rsid w:val="003D0340"/>
    <w:pPr>
      <w:numPr>
        <w:numId w:val="8"/>
      </w:numPr>
      <w:outlineLvl w:val="0"/>
    </w:pPr>
  </w:style>
  <w:style w:type="paragraph" w:customStyle="1" w:styleId="CUTable2">
    <w:name w:val="CU_Table2"/>
    <w:basedOn w:val="Normal"/>
    <w:rsid w:val="003D0340"/>
    <w:pPr>
      <w:numPr>
        <w:ilvl w:val="1"/>
        <w:numId w:val="8"/>
      </w:numPr>
      <w:outlineLvl w:val="2"/>
    </w:pPr>
  </w:style>
  <w:style w:type="paragraph" w:customStyle="1" w:styleId="CUTable3">
    <w:name w:val="CU_Table3"/>
    <w:basedOn w:val="Normal"/>
    <w:rsid w:val="003D0340"/>
    <w:pPr>
      <w:numPr>
        <w:ilvl w:val="2"/>
        <w:numId w:val="8"/>
      </w:numPr>
      <w:outlineLvl w:val="3"/>
    </w:pPr>
  </w:style>
  <w:style w:type="paragraph" w:customStyle="1" w:styleId="CUTable4">
    <w:name w:val="CU_Table4"/>
    <w:basedOn w:val="Normal"/>
    <w:rsid w:val="003D0340"/>
    <w:pPr>
      <w:numPr>
        <w:ilvl w:val="3"/>
        <w:numId w:val="8"/>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8"/>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23"/>
      </w:numPr>
    </w:pPr>
  </w:style>
  <w:style w:type="paragraph" w:customStyle="1" w:styleId="CUTableBullet2">
    <w:name w:val="CU_Table Bullet2"/>
    <w:basedOn w:val="Normal"/>
    <w:qFormat/>
    <w:rsid w:val="0048035C"/>
    <w:pPr>
      <w:numPr>
        <w:ilvl w:val="1"/>
        <w:numId w:val="23"/>
      </w:numPr>
    </w:pPr>
  </w:style>
  <w:style w:type="paragraph" w:customStyle="1" w:styleId="CUTableBullet3">
    <w:name w:val="CU_Table Bullet3"/>
    <w:basedOn w:val="Normal"/>
    <w:qFormat/>
    <w:rsid w:val="0048035C"/>
    <w:pPr>
      <w:numPr>
        <w:ilvl w:val="2"/>
        <w:numId w:val="23"/>
      </w:numPr>
    </w:pPr>
  </w:style>
  <w:style w:type="paragraph" w:customStyle="1" w:styleId="CUTableIndent1">
    <w:name w:val="CU_Table Indent1"/>
    <w:basedOn w:val="Normal"/>
    <w:qFormat/>
    <w:rsid w:val="004E0636"/>
    <w:pPr>
      <w:numPr>
        <w:numId w:val="25"/>
      </w:numPr>
    </w:pPr>
  </w:style>
  <w:style w:type="paragraph" w:customStyle="1" w:styleId="CUTableIndent2">
    <w:name w:val="CU_Table Indent2"/>
    <w:basedOn w:val="Normal"/>
    <w:qFormat/>
    <w:rsid w:val="004E0636"/>
    <w:pPr>
      <w:numPr>
        <w:ilvl w:val="1"/>
        <w:numId w:val="25"/>
      </w:numPr>
    </w:pPr>
  </w:style>
  <w:style w:type="paragraph" w:customStyle="1" w:styleId="CUTableIndent3">
    <w:name w:val="CU_Table Indent3"/>
    <w:basedOn w:val="Normal"/>
    <w:qFormat/>
    <w:rsid w:val="004E0636"/>
    <w:pPr>
      <w:numPr>
        <w:ilvl w:val="2"/>
        <w:numId w:val="25"/>
      </w:numPr>
    </w:pPr>
  </w:style>
  <w:style w:type="numbering" w:customStyle="1" w:styleId="CUTableBullet">
    <w:name w:val="CUTable Bullet"/>
    <w:uiPriority w:val="99"/>
    <w:rsid w:val="0048035C"/>
    <w:pPr>
      <w:numPr>
        <w:numId w:val="23"/>
      </w:numPr>
    </w:pPr>
  </w:style>
  <w:style w:type="numbering" w:customStyle="1" w:styleId="CUTableIndent">
    <w:name w:val="CUTableIndent"/>
    <w:uiPriority w:val="99"/>
    <w:rsid w:val="004E0636"/>
    <w:pPr>
      <w:numPr>
        <w:numId w:val="25"/>
      </w:numPr>
    </w:pPr>
  </w:style>
  <w:style w:type="character" w:styleId="FollowedHyperlink">
    <w:name w:val="FollowedHyperlink"/>
    <w:basedOn w:val="DefaultParagraphFont"/>
    <w:uiPriority w:val="99"/>
    <w:semiHidden/>
    <w:unhideWhenUsed/>
    <w:rsid w:val="00FB17D1"/>
    <w:rPr>
      <w:color w:val="3C1A56" w:themeColor="followedHyperlink"/>
      <w:u w:val="single"/>
    </w:rPr>
  </w:style>
  <w:style w:type="character" w:styleId="CommentReference">
    <w:name w:val="annotation reference"/>
    <w:basedOn w:val="DefaultParagraphFont"/>
    <w:uiPriority w:val="99"/>
    <w:semiHidden/>
    <w:unhideWhenUsed/>
    <w:rsid w:val="00647F56"/>
    <w:rPr>
      <w:sz w:val="16"/>
      <w:szCs w:val="16"/>
    </w:rPr>
  </w:style>
  <w:style w:type="paragraph" w:styleId="CommentText">
    <w:name w:val="annotation text"/>
    <w:basedOn w:val="Normal"/>
    <w:link w:val="CommentTextChar"/>
    <w:uiPriority w:val="99"/>
    <w:semiHidden/>
    <w:unhideWhenUsed/>
    <w:rsid w:val="00647F56"/>
  </w:style>
  <w:style w:type="character" w:customStyle="1" w:styleId="CommentTextChar">
    <w:name w:val="Comment Text Char"/>
    <w:basedOn w:val="DefaultParagraphFont"/>
    <w:link w:val="CommentText"/>
    <w:uiPriority w:val="99"/>
    <w:semiHidden/>
    <w:rsid w:val="00647F56"/>
  </w:style>
  <w:style w:type="paragraph" w:styleId="CommentSubject">
    <w:name w:val="annotation subject"/>
    <w:basedOn w:val="CommentText"/>
    <w:next w:val="CommentText"/>
    <w:link w:val="CommentSubjectChar"/>
    <w:uiPriority w:val="99"/>
    <w:semiHidden/>
    <w:unhideWhenUsed/>
    <w:rsid w:val="00647F56"/>
    <w:rPr>
      <w:b/>
      <w:bCs/>
    </w:rPr>
  </w:style>
  <w:style w:type="character" w:customStyle="1" w:styleId="CommentSubjectChar">
    <w:name w:val="Comment Subject Char"/>
    <w:basedOn w:val="CommentTextChar"/>
    <w:link w:val="CommentSubject"/>
    <w:uiPriority w:val="99"/>
    <w:semiHidden/>
    <w:rsid w:val="00647F56"/>
    <w:rPr>
      <w:b/>
      <w:bCs/>
    </w:rPr>
  </w:style>
  <w:style w:type="paragraph" w:styleId="ListParagraph">
    <w:name w:val="List Paragraph"/>
    <w:basedOn w:val="Normal"/>
    <w:uiPriority w:val="34"/>
    <w:rsid w:val="002D6DEA"/>
    <w:pPr>
      <w:ind w:left="720"/>
      <w:contextualSpacing/>
    </w:pPr>
  </w:style>
  <w:style w:type="character" w:styleId="Emphasis">
    <w:name w:val="Emphasis"/>
    <w:basedOn w:val="DefaultParagraphFont"/>
    <w:uiPriority w:val="20"/>
    <w:qFormat/>
    <w:rsid w:val="00A122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2438">
      <w:bodyDiv w:val="1"/>
      <w:marLeft w:val="0"/>
      <w:marRight w:val="0"/>
      <w:marTop w:val="0"/>
      <w:marBottom w:val="0"/>
      <w:divBdr>
        <w:top w:val="none" w:sz="0" w:space="0" w:color="auto"/>
        <w:left w:val="none" w:sz="0" w:space="0" w:color="auto"/>
        <w:bottom w:val="none" w:sz="0" w:space="0" w:color="auto"/>
        <w:right w:val="none" w:sz="0" w:space="0" w:color="auto"/>
      </w:divBdr>
      <w:divsChild>
        <w:div w:id="1621037364">
          <w:marLeft w:val="0"/>
          <w:marRight w:val="0"/>
          <w:marTop w:val="0"/>
          <w:marBottom w:val="0"/>
          <w:divBdr>
            <w:top w:val="none" w:sz="0" w:space="0" w:color="auto"/>
            <w:left w:val="none" w:sz="0" w:space="0" w:color="auto"/>
            <w:bottom w:val="none" w:sz="0" w:space="0" w:color="auto"/>
            <w:right w:val="none" w:sz="0" w:space="0" w:color="auto"/>
          </w:divBdr>
        </w:div>
      </w:divsChild>
    </w:div>
    <w:div w:id="310645198">
      <w:bodyDiv w:val="1"/>
      <w:marLeft w:val="0"/>
      <w:marRight w:val="0"/>
      <w:marTop w:val="0"/>
      <w:marBottom w:val="0"/>
      <w:divBdr>
        <w:top w:val="none" w:sz="0" w:space="0" w:color="auto"/>
        <w:left w:val="none" w:sz="0" w:space="0" w:color="auto"/>
        <w:bottom w:val="none" w:sz="0" w:space="0" w:color="auto"/>
        <w:right w:val="none" w:sz="0" w:space="0" w:color="auto"/>
      </w:divBdr>
    </w:div>
    <w:div w:id="541984065">
      <w:bodyDiv w:val="1"/>
      <w:marLeft w:val="0"/>
      <w:marRight w:val="0"/>
      <w:marTop w:val="0"/>
      <w:marBottom w:val="0"/>
      <w:divBdr>
        <w:top w:val="none" w:sz="0" w:space="0" w:color="auto"/>
        <w:left w:val="none" w:sz="0" w:space="0" w:color="auto"/>
        <w:bottom w:val="none" w:sz="0" w:space="0" w:color="auto"/>
        <w:right w:val="none" w:sz="0" w:space="0" w:color="auto"/>
      </w:divBdr>
    </w:div>
    <w:div w:id="698971009">
      <w:bodyDiv w:val="1"/>
      <w:marLeft w:val="0"/>
      <w:marRight w:val="0"/>
      <w:marTop w:val="0"/>
      <w:marBottom w:val="0"/>
      <w:divBdr>
        <w:top w:val="none" w:sz="0" w:space="0" w:color="auto"/>
        <w:left w:val="none" w:sz="0" w:space="0" w:color="auto"/>
        <w:bottom w:val="none" w:sz="0" w:space="0" w:color="auto"/>
        <w:right w:val="none" w:sz="0" w:space="0" w:color="auto"/>
      </w:divBdr>
    </w:div>
    <w:div w:id="20773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abs.gov.au/ausstats/abs@.nsf/mf/3412.0/" TargetMode="External"/><Relationship Id="rId13" Type="http://schemas.openxmlformats.org/officeDocument/2006/relationships/hyperlink" Target="https://acica.org.au/wp-content/uploads/2016/08/ACICA-online-ADR-procedural-order.pdf" TargetMode="External"/><Relationship Id="rId3" Type="http://schemas.openxmlformats.org/officeDocument/2006/relationships/hyperlink" Target="https://iccwbo.org/media-wall/news-speeches/icc-reveals-record-number-new-arbitration-cases-filed-2016/" TargetMode="External"/><Relationship Id="rId7" Type="http://schemas.openxmlformats.org/officeDocument/2006/relationships/hyperlink" Target="http://www.sydneyarbitration.com/Travel-and-transport" TargetMode="External"/><Relationship Id="rId12" Type="http://schemas.openxmlformats.org/officeDocument/2006/relationships/hyperlink" Target="https://www.ciarb.net.au/resources/international-arbitration/technical-innovations-in-international-arbitration-why-australia-needs-to-move-to-arbitration-2-0/" TargetMode="External"/><Relationship Id="rId2" Type="http://schemas.openxmlformats.org/officeDocument/2006/relationships/hyperlink" Target="http://www.abs.gov.au/ausstats/abs@.nsf/mf/5206.0" TargetMode="External"/><Relationship Id="rId1" Type="http://schemas.openxmlformats.org/officeDocument/2006/relationships/hyperlink" Target="http://www.dougjones.info" TargetMode="External"/><Relationship Id="rId6" Type="http://schemas.openxmlformats.org/officeDocument/2006/relationships/hyperlink" Target="https://www.economist.com/blogs/graphicdetail/2017/03/daily-chart-13" TargetMode="External"/><Relationship Id="rId11" Type="http://schemas.openxmlformats.org/officeDocument/2006/relationships/hyperlink" Target="https://www.ciarb.net.au/resources/international-arbitration/technical-innovations-in-international-arbitration-why-australia-needs-to-move-to-arbitration-2-0/" TargetMode="External"/><Relationship Id="rId5" Type="http://schemas.openxmlformats.org/officeDocument/2006/relationships/hyperlink" Target="http://www.legal500.com/c/asia-pacific-regional-international-arbitration/regional-international-arbitration" TargetMode="External"/><Relationship Id="rId10" Type="http://schemas.openxmlformats.org/officeDocument/2006/relationships/hyperlink" Target="https://acica.org.au/wp-content/uploads/2016/06/Media-Release-Equal-Representation-in-Arbitration-Pledge.pdf" TargetMode="External"/><Relationship Id="rId4" Type="http://schemas.openxmlformats.org/officeDocument/2006/relationships/hyperlink" Target="http://www.sydneyarbitration.com/Travel-and-transport" TargetMode="External"/><Relationship Id="rId9" Type="http://schemas.openxmlformats.org/officeDocument/2006/relationships/hyperlink" Target="https://www.lawyersweekly.com.au/news/18842-acica-aims-for-equality-in-arbitration"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57EF-84B0-4DEB-A347-414509D8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Clayton Utz</cp:lastModifiedBy>
  <cp:revision>2</cp:revision>
  <cp:lastPrinted>2017-10-06T03:51:00Z</cp:lastPrinted>
  <dcterms:created xsi:type="dcterms:W3CDTF">2017-10-12T02:23:00Z</dcterms:created>
  <dcterms:modified xsi:type="dcterms:W3CDTF">2017-10-12T02:23:00Z</dcterms:modified>
</cp:coreProperties>
</file>